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2"/>
        <w:rPr>
          <w:rFonts w:cs="宋体" w:asciiTheme="minorEastAsia" w:hAnsiTheme="minorEastAsia"/>
          <w:b/>
          <w:color w:val="353535"/>
          <w:kern w:val="0"/>
          <w:sz w:val="44"/>
          <w:szCs w:val="44"/>
        </w:rPr>
      </w:pPr>
      <w:r>
        <w:rPr>
          <w:rFonts w:cs="宋体" w:asciiTheme="minorEastAsia" w:hAnsiTheme="minorEastAsia"/>
          <w:b/>
          <w:color w:val="353535"/>
          <w:kern w:val="0"/>
          <w:sz w:val="44"/>
          <w:szCs w:val="44"/>
        </w:rPr>
        <w:t>吉林龙潭法院</w:t>
      </w:r>
    </w:p>
    <w:p>
      <w:pPr>
        <w:widowControl/>
        <w:jc w:val="center"/>
        <w:outlineLvl w:val="2"/>
        <w:rPr>
          <w:rFonts w:cs="宋体" w:asciiTheme="minorEastAsia" w:hAnsiTheme="minorEastAsia"/>
          <w:b/>
          <w:color w:val="353535"/>
          <w:kern w:val="0"/>
          <w:sz w:val="44"/>
          <w:szCs w:val="44"/>
        </w:rPr>
      </w:pPr>
      <w:r>
        <w:rPr>
          <w:rFonts w:cs="宋体" w:asciiTheme="minorEastAsia" w:hAnsiTheme="minorEastAsia"/>
          <w:b/>
          <w:color w:val="FF0000"/>
          <w:kern w:val="0"/>
          <w:sz w:val="44"/>
          <w:szCs w:val="44"/>
        </w:rPr>
        <w:t>20</w:t>
      </w:r>
      <w:r>
        <w:rPr>
          <w:rFonts w:hint="eastAsia" w:cs="宋体" w:asciiTheme="minorEastAsia" w:hAnsiTheme="minorEastAsia"/>
          <w:b/>
          <w:color w:val="FF0000"/>
          <w:kern w:val="0"/>
          <w:sz w:val="44"/>
          <w:szCs w:val="44"/>
        </w:rPr>
        <w:t>2</w:t>
      </w:r>
      <w:r>
        <w:rPr>
          <w:rFonts w:hint="eastAsia" w:cs="宋体" w:asciiTheme="minorEastAsia" w:hAnsiTheme="minorEastAsia"/>
          <w:b/>
          <w:color w:val="FF0000"/>
          <w:kern w:val="0"/>
          <w:sz w:val="44"/>
          <w:szCs w:val="44"/>
          <w:lang w:val="en-US" w:eastAsia="zh-CN"/>
        </w:rPr>
        <w:t>2</w:t>
      </w:r>
      <w:r>
        <w:rPr>
          <w:rFonts w:cs="宋体" w:asciiTheme="minorEastAsia" w:hAnsiTheme="minorEastAsia"/>
          <w:b/>
          <w:color w:val="353535"/>
          <w:kern w:val="0"/>
          <w:sz w:val="44"/>
          <w:szCs w:val="44"/>
        </w:rPr>
        <w:t>年司法辅助工作情况分析报告</w:t>
      </w:r>
    </w:p>
    <w:p>
      <w:pPr>
        <w:widowControl/>
        <w:jc w:val="left"/>
        <w:rPr>
          <w:rFonts w:hint="eastAsia" w:ascii="微软雅黑" w:hAnsi="微软雅黑" w:eastAsia="宋体" w:cs="宋体"/>
          <w:color w:val="000000"/>
          <w:kern w:val="0"/>
          <w:szCs w:val="21"/>
        </w:rPr>
      </w:pPr>
      <w:r>
        <w:rPr>
          <w:rFonts w:ascii="微软雅黑" w:hAnsi="微软雅黑" w:eastAsia="宋体" w:cs="宋体"/>
          <w:color w:val="000000"/>
          <w:kern w:val="0"/>
          <w:szCs w:val="21"/>
        </w:rPr>
        <w:br w:type="textWrapping"/>
      </w:r>
      <w:r>
        <w:rPr>
          <w:rFonts w:ascii="微软雅黑" w:hAnsi="微软雅黑" w:eastAsia="宋体" w:cs="宋体"/>
          <w:color w:val="000000"/>
          <w:kern w:val="0"/>
          <w:szCs w:val="21"/>
        </w:rPr>
        <w:t> </w:t>
      </w:r>
    </w:p>
    <w:p>
      <w:pPr>
        <w:ind w:firstLine="640" w:firstLineChars="200"/>
        <w:jc w:val="left"/>
        <w:rPr>
          <w:rFonts w:ascii="黑体" w:hAnsi="黑体" w:eastAsia="黑体"/>
          <w:sz w:val="32"/>
          <w:szCs w:val="32"/>
        </w:rPr>
      </w:pPr>
      <w:r>
        <w:rPr>
          <w:rFonts w:hint="eastAsia" w:ascii="黑体" w:hAnsi="黑体" w:eastAsia="黑体"/>
          <w:sz w:val="32"/>
          <w:szCs w:val="32"/>
        </w:rPr>
        <w:t>一、基本情况</w:t>
      </w:r>
    </w:p>
    <w:p>
      <w:pPr>
        <w:ind w:firstLine="640" w:firstLineChars="200"/>
        <w:jc w:val="left"/>
        <w:rPr>
          <w:rFonts w:ascii="仿宋" w:hAnsi="仿宋" w:eastAsia="仿宋"/>
          <w:sz w:val="32"/>
          <w:szCs w:val="32"/>
        </w:rPr>
      </w:pPr>
      <w:r>
        <w:rPr>
          <w:rFonts w:hint="eastAsia" w:ascii="仿宋" w:hAnsi="仿宋" w:eastAsia="仿宋"/>
          <w:sz w:val="32"/>
          <w:szCs w:val="32"/>
        </w:rPr>
        <w:t>吉林市龙潭区法院从事司法技术辅助工作的人员</w:t>
      </w:r>
      <w:r>
        <w:rPr>
          <w:rFonts w:hint="eastAsia" w:ascii="仿宋" w:hAnsi="仿宋" w:eastAsia="仿宋"/>
          <w:color w:val="FF0000"/>
          <w:sz w:val="32"/>
          <w:szCs w:val="32"/>
          <w:lang w:val="en-US" w:eastAsia="zh-CN"/>
        </w:rPr>
        <w:t>2</w:t>
      </w:r>
      <w:r>
        <w:rPr>
          <w:rFonts w:hint="eastAsia" w:ascii="仿宋" w:hAnsi="仿宋" w:eastAsia="仿宋"/>
          <w:sz w:val="32"/>
          <w:szCs w:val="32"/>
        </w:rPr>
        <w:t>人，现归属于</w:t>
      </w:r>
      <w:r>
        <w:rPr>
          <w:rFonts w:hint="eastAsia" w:ascii="仿宋" w:hAnsi="仿宋" w:eastAsia="仿宋"/>
          <w:color w:val="FF0000"/>
          <w:sz w:val="32"/>
          <w:szCs w:val="32"/>
        </w:rPr>
        <w:t>审判管理室管理</w:t>
      </w:r>
      <w:r>
        <w:rPr>
          <w:rFonts w:hint="eastAsia" w:ascii="仿宋" w:hAnsi="仿宋" w:eastAsia="仿宋"/>
          <w:sz w:val="32"/>
          <w:szCs w:val="32"/>
        </w:rPr>
        <w:t>。</w:t>
      </w:r>
    </w:p>
    <w:p>
      <w:pPr>
        <w:widowControl/>
        <w:ind w:firstLine="640"/>
        <w:jc w:val="left"/>
        <w:rPr>
          <w:rFonts w:hint="eastAsia" w:ascii="微软雅黑" w:hAnsi="微软雅黑" w:eastAsia="宋体" w:cs="宋体"/>
          <w:color w:val="000000"/>
          <w:kern w:val="0"/>
          <w:szCs w:val="21"/>
        </w:rPr>
      </w:pPr>
      <w:r>
        <w:rPr>
          <w:rFonts w:hint="eastAsia" w:ascii="黑体" w:hAnsi="黑体" w:eastAsia="黑体" w:cs="宋体"/>
          <w:color w:val="000000"/>
          <w:kern w:val="0"/>
          <w:sz w:val="32"/>
          <w:szCs w:val="32"/>
        </w:rPr>
        <w:t>二、工作情况汇报</w:t>
      </w:r>
    </w:p>
    <w:p>
      <w:pPr>
        <w:ind w:firstLine="643" w:firstLineChars="200"/>
        <w:jc w:val="left"/>
        <w:rPr>
          <w:rFonts w:ascii="仿宋" w:hAnsi="仿宋" w:eastAsia="仿宋"/>
          <w:b/>
          <w:sz w:val="32"/>
          <w:szCs w:val="32"/>
        </w:rPr>
      </w:pPr>
      <w:r>
        <w:rPr>
          <w:rFonts w:hint="eastAsia" w:ascii="仿宋" w:hAnsi="仿宋" w:eastAsia="仿宋"/>
          <w:b/>
          <w:sz w:val="32"/>
          <w:szCs w:val="32"/>
        </w:rPr>
        <w:t>（一）认真学习、探索鉴定机构信息管理与使用。</w:t>
      </w:r>
    </w:p>
    <w:p>
      <w:pPr>
        <w:ind w:firstLine="640" w:firstLineChars="200"/>
        <w:jc w:val="left"/>
        <w:rPr>
          <w:rFonts w:ascii="仿宋" w:hAnsi="仿宋" w:eastAsia="仿宋" w:cs="仿宋"/>
          <w:sz w:val="32"/>
          <w:szCs w:val="32"/>
        </w:rPr>
      </w:pPr>
      <w:r>
        <w:rPr>
          <w:rFonts w:hint="eastAsia" w:ascii="仿宋" w:hAnsi="仿宋" w:eastAsia="仿宋" w:cs="仿宋"/>
          <w:color w:val="FF0000"/>
          <w:sz w:val="32"/>
          <w:szCs w:val="32"/>
        </w:rPr>
        <w:t>2017</w:t>
      </w:r>
      <w:r>
        <w:rPr>
          <w:rFonts w:hint="eastAsia" w:ascii="仿宋" w:hAnsi="仿宋" w:eastAsia="仿宋" w:cs="仿宋"/>
          <w:sz w:val="32"/>
          <w:szCs w:val="32"/>
        </w:rPr>
        <w:t>年，吉林高院正式发文明确吉林法院对外委托机构信息平台在吉林省法院范围内正式启用。该平台涵盖法医、物证、声像资料、产品质量、工程造价、资产评估等</w:t>
      </w:r>
      <w:r>
        <w:rPr>
          <w:rFonts w:ascii="仿宋" w:hAnsi="仿宋" w:eastAsia="仿宋" w:cs="仿宋"/>
          <w:color w:val="FF0000"/>
          <w:sz w:val="32"/>
          <w:szCs w:val="32"/>
        </w:rPr>
        <w:t>14</w:t>
      </w:r>
      <w:r>
        <w:rPr>
          <w:rFonts w:hint="eastAsia" w:ascii="仿宋" w:hAnsi="仿宋" w:eastAsia="仿宋" w:cs="仿宋"/>
          <w:sz w:val="32"/>
          <w:szCs w:val="32"/>
        </w:rPr>
        <w:t>个专业类别的鉴定机构。我院于去年对鉴定室进行了改造，铺设了网线、更换了电脑，并组织人员去其他法院学习，交流经验，严格按照规定要求开展鉴定工作，替换了原有的抽签模式，使鉴定工作效率得到明显改善，程序更加公开，极大提升了鉴定程序的公正性。</w:t>
      </w:r>
    </w:p>
    <w:p>
      <w:pPr>
        <w:widowControl/>
        <w:spacing w:line="600" w:lineRule="atLeast"/>
        <w:ind w:firstLine="600"/>
        <w:jc w:val="left"/>
        <w:rPr>
          <w:rFonts w:ascii="仿宋" w:hAnsi="仿宋" w:eastAsia="仿宋"/>
          <w:b/>
          <w:sz w:val="32"/>
          <w:szCs w:val="32"/>
        </w:rPr>
      </w:pPr>
      <w:r>
        <w:rPr>
          <w:rFonts w:ascii="仿宋" w:hAnsi="仿宋" w:eastAsia="仿宋" w:cs="宋体"/>
          <w:b/>
          <w:color w:val="000000"/>
          <w:kern w:val="0"/>
          <w:sz w:val="32"/>
          <w:szCs w:val="32"/>
        </w:rPr>
        <w:t>（二）努力克服困难，</w:t>
      </w:r>
      <w:r>
        <w:rPr>
          <w:rFonts w:hint="eastAsia" w:ascii="仿宋" w:hAnsi="仿宋" w:eastAsia="仿宋" w:cs="Tahoma"/>
          <w:b/>
          <w:color w:val="000000"/>
          <w:sz w:val="32"/>
          <w:szCs w:val="32"/>
          <w:shd w:val="clear" w:color="auto" w:fill="FFFFFF"/>
        </w:rPr>
        <w:t>切实为</w:t>
      </w:r>
      <w:r>
        <w:rPr>
          <w:rFonts w:hint="eastAsia" w:ascii="仿宋" w:hAnsi="仿宋" w:eastAsia="仿宋"/>
          <w:b/>
          <w:sz w:val="32"/>
          <w:szCs w:val="32"/>
        </w:rPr>
        <w:t>审判工作和执行工作提供较好的服务。</w:t>
      </w:r>
    </w:p>
    <w:p>
      <w:pPr>
        <w:widowControl/>
        <w:shd w:val="clear" w:color="auto" w:fill="FFFFFF"/>
        <w:spacing w:line="620" w:lineRule="exact"/>
        <w:ind w:firstLine="660"/>
        <w:rPr>
          <w:rFonts w:ascii="仿宋" w:hAnsi="仿宋" w:eastAsia="仿宋" w:cs="Tahoma"/>
          <w:color w:val="000000"/>
          <w:sz w:val="32"/>
          <w:szCs w:val="32"/>
          <w:shd w:val="clear" w:color="auto" w:fill="FFFFFF"/>
        </w:rPr>
      </w:pPr>
      <w:r>
        <w:rPr>
          <w:rFonts w:ascii="仿宋" w:hAnsi="仿宋" w:eastAsia="仿宋" w:cs="宋体"/>
          <w:color w:val="000000"/>
          <w:kern w:val="0"/>
          <w:sz w:val="32"/>
          <w:szCs w:val="32"/>
        </w:rPr>
        <w:t>我院鉴定案件呈逐年上升趋势，</w:t>
      </w:r>
      <w:r>
        <w:rPr>
          <w:rFonts w:hint="eastAsia" w:ascii="仿宋" w:hAnsi="仿宋" w:eastAsia="仿宋"/>
          <w:color w:val="FF0000"/>
          <w:sz w:val="32"/>
          <w:szCs w:val="32"/>
        </w:rPr>
        <w:t>202</w:t>
      </w:r>
      <w:r>
        <w:rPr>
          <w:rFonts w:hint="eastAsia" w:ascii="仿宋" w:hAnsi="仿宋" w:eastAsia="仿宋"/>
          <w:color w:val="FF0000"/>
          <w:sz w:val="32"/>
          <w:szCs w:val="32"/>
          <w:lang w:val="en-US" w:eastAsia="zh-CN"/>
        </w:rPr>
        <w:t>2</w:t>
      </w:r>
      <w:r>
        <w:rPr>
          <w:rFonts w:hint="eastAsia" w:ascii="仿宋" w:hAnsi="仿宋" w:eastAsia="仿宋"/>
          <w:color w:val="FF0000"/>
          <w:sz w:val="32"/>
          <w:szCs w:val="32"/>
        </w:rPr>
        <w:t>年</w:t>
      </w:r>
      <w:r>
        <w:rPr>
          <w:rFonts w:hint="eastAsia" w:ascii="仿宋" w:hAnsi="仿宋" w:eastAsia="仿宋"/>
          <w:sz w:val="32"/>
          <w:szCs w:val="32"/>
        </w:rPr>
        <w:t>度</w:t>
      </w:r>
      <w:r>
        <w:rPr>
          <w:rFonts w:hint="eastAsia" w:ascii="仿宋" w:hAnsi="仿宋" w:eastAsia="仿宋"/>
          <w:color w:val="FF0000"/>
          <w:sz w:val="32"/>
          <w:szCs w:val="32"/>
        </w:rPr>
        <w:t>鉴定种类</w:t>
      </w:r>
      <w:r>
        <w:rPr>
          <w:rFonts w:hint="eastAsia" w:ascii="仿宋" w:hAnsi="仿宋" w:eastAsia="仿宋"/>
          <w:color w:val="FF0000"/>
          <w:sz w:val="32"/>
          <w:szCs w:val="32"/>
          <w:lang w:eastAsia="zh-CN"/>
        </w:rPr>
        <w:t>更细致</w:t>
      </w:r>
      <w:r>
        <w:rPr>
          <w:rFonts w:hint="eastAsia" w:ascii="仿宋" w:hAnsi="仿宋" w:eastAsia="仿宋"/>
          <w:color w:val="FF0000"/>
          <w:sz w:val="32"/>
          <w:szCs w:val="32"/>
        </w:rPr>
        <w:t>且鉴定内容更为详细,导致鉴定机构很多细分类的鉴定无法接案,致使鉴定时限增长</w:t>
      </w: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2022年我院积极开展诉前鉴定工作，推动诉前解决纠纷的机制，取得显著成效</w:t>
      </w:r>
      <w:r>
        <w:rPr>
          <w:rFonts w:hint="eastAsia" w:ascii="仿宋" w:hAnsi="仿宋" w:eastAsia="仿宋"/>
          <w:sz w:val="32"/>
          <w:szCs w:val="32"/>
        </w:rPr>
        <w:t>。</w:t>
      </w:r>
      <w:r>
        <w:rPr>
          <w:rFonts w:ascii="仿宋" w:hAnsi="仿宋" w:eastAsia="仿宋" w:cs="宋体"/>
          <w:color w:val="000000"/>
          <w:kern w:val="0"/>
          <w:sz w:val="32"/>
          <w:szCs w:val="32"/>
        </w:rPr>
        <w:t>2017年全年鉴定类案件131件， 2018年全年鉴定类案件</w:t>
      </w:r>
      <w:r>
        <w:rPr>
          <w:rFonts w:hint="eastAsia" w:ascii="仿宋" w:hAnsi="仿宋" w:eastAsia="仿宋" w:cs="宋体"/>
          <w:color w:val="000000"/>
          <w:kern w:val="0"/>
          <w:sz w:val="32"/>
          <w:szCs w:val="32"/>
        </w:rPr>
        <w:t>156件，比去年增长19%。</w:t>
      </w:r>
      <w:r>
        <w:rPr>
          <w:rFonts w:ascii="仿宋" w:hAnsi="仿宋" w:eastAsia="仿宋" w:cs="宋体"/>
          <w:color w:val="000000"/>
          <w:kern w:val="0"/>
          <w:sz w:val="32"/>
          <w:szCs w:val="32"/>
        </w:rPr>
        <w:t>201</w:t>
      </w:r>
      <w:r>
        <w:rPr>
          <w:rFonts w:hint="eastAsia" w:ascii="仿宋" w:hAnsi="仿宋" w:eastAsia="仿宋" w:cs="宋体"/>
          <w:color w:val="000000"/>
          <w:kern w:val="0"/>
          <w:sz w:val="32"/>
          <w:szCs w:val="32"/>
        </w:rPr>
        <w:t>9</w:t>
      </w:r>
      <w:r>
        <w:rPr>
          <w:rFonts w:ascii="仿宋" w:hAnsi="仿宋" w:eastAsia="仿宋" w:cs="宋体"/>
          <w:color w:val="000000"/>
          <w:kern w:val="0"/>
          <w:sz w:val="32"/>
          <w:szCs w:val="32"/>
        </w:rPr>
        <w:t>年全年鉴定类案件</w:t>
      </w:r>
      <w:r>
        <w:rPr>
          <w:rFonts w:hint="eastAsia" w:ascii="仿宋" w:hAnsi="仿宋" w:eastAsia="仿宋" w:cs="宋体"/>
          <w:color w:val="000000"/>
          <w:kern w:val="0"/>
          <w:sz w:val="32"/>
          <w:szCs w:val="32"/>
        </w:rPr>
        <w:t>146件，比去年降低6.4%。2020年全年鉴定案件71个，同比去年降低51.37%。</w:t>
      </w:r>
      <w:r>
        <w:rPr>
          <w:rFonts w:hint="eastAsia" w:ascii="仿宋" w:hAnsi="仿宋" w:eastAsia="仿宋" w:cs="宋体"/>
          <w:color w:val="000000"/>
          <w:kern w:val="0"/>
          <w:sz w:val="32"/>
          <w:szCs w:val="32"/>
          <w:lang w:val="en-US" w:eastAsia="zh-CN"/>
        </w:rPr>
        <w:t>2022年</w:t>
      </w:r>
      <w:r>
        <w:rPr>
          <w:rFonts w:hint="eastAsia" w:ascii="仿宋" w:hAnsi="仿宋" w:eastAsia="仿宋" w:cs="Tahoma"/>
          <w:color w:val="000000"/>
          <w:sz w:val="32"/>
          <w:szCs w:val="32"/>
          <w:shd w:val="clear" w:color="auto" w:fill="FFFFFF"/>
        </w:rPr>
        <w:t>截止到今年9月末我院共收鉴定案件</w:t>
      </w:r>
      <w:r>
        <w:rPr>
          <w:rFonts w:hint="eastAsia" w:ascii="仿宋" w:hAnsi="仿宋" w:eastAsia="仿宋" w:cs="Tahoma"/>
          <w:color w:val="000000"/>
          <w:sz w:val="32"/>
          <w:szCs w:val="32"/>
          <w:shd w:val="clear" w:color="auto" w:fill="FFFFFF"/>
          <w:lang w:val="en-US" w:eastAsia="zh-CN"/>
        </w:rPr>
        <w:t>45</w:t>
      </w:r>
      <w:r>
        <w:rPr>
          <w:rFonts w:hint="eastAsia" w:ascii="仿宋" w:hAnsi="仿宋" w:eastAsia="仿宋" w:cs="Tahoma"/>
          <w:color w:val="000000"/>
          <w:sz w:val="32"/>
          <w:szCs w:val="32"/>
          <w:shd w:val="clear" w:color="auto" w:fill="FFFFFF"/>
        </w:rPr>
        <w:t>件</w:t>
      </w:r>
      <w:bookmarkStart w:id="0" w:name="_GoBack"/>
      <w:bookmarkEnd w:id="0"/>
      <w:r>
        <w:rPr>
          <w:rFonts w:hint="eastAsia" w:ascii="仿宋" w:hAnsi="仿宋" w:eastAsia="仿宋" w:cs="Tahoma"/>
          <w:color w:val="000000"/>
          <w:sz w:val="32"/>
          <w:szCs w:val="32"/>
          <w:shd w:val="clear" w:color="auto" w:fill="FFFFFF"/>
        </w:rPr>
        <w:t>。</w:t>
      </w:r>
    </w:p>
    <w:p>
      <w:pPr>
        <w:widowControl/>
        <w:spacing w:line="600" w:lineRule="atLeast"/>
        <w:ind w:firstLine="600"/>
        <w:jc w:val="left"/>
        <w:rPr>
          <w:rFonts w:ascii="仿宋" w:hAnsi="仿宋" w:eastAsia="仿宋"/>
          <w:sz w:val="32"/>
          <w:szCs w:val="32"/>
        </w:rPr>
      </w:pPr>
      <w:r>
        <w:rPr>
          <w:rFonts w:hint="eastAsia" w:ascii="仿宋" w:hAnsi="仿宋" w:eastAsia="仿宋" w:cs="Tahoma"/>
          <w:color w:val="000000"/>
          <w:sz w:val="32"/>
          <w:szCs w:val="32"/>
          <w:shd w:val="clear" w:color="auto" w:fill="FFFFFF"/>
        </w:rPr>
        <w:t>司法辅助工作的特点是工作量大、</w:t>
      </w:r>
      <w:r>
        <w:rPr>
          <w:rFonts w:hint="eastAsia" w:ascii="仿宋" w:hAnsi="仿宋" w:eastAsia="仿宋"/>
          <w:sz w:val="32"/>
          <w:szCs w:val="32"/>
        </w:rPr>
        <w:t>时间紧、任务急、</w:t>
      </w:r>
      <w:r>
        <w:rPr>
          <w:rFonts w:hint="eastAsia" w:ascii="仿宋" w:hAnsi="仿宋" w:eastAsia="仿宋" w:cs="Tahoma"/>
          <w:color w:val="000000"/>
          <w:sz w:val="32"/>
          <w:szCs w:val="32"/>
          <w:shd w:val="clear" w:color="auto" w:fill="FFFFFF"/>
        </w:rPr>
        <w:t>涉及范围广、出外勤频繁，既需要在办公室整理、打印大量鉴定材料、法律文书，又需要与鉴定机构沟通、协调、组织勘察现场、监督整个鉴定各个环节公平合法，切实为</w:t>
      </w:r>
      <w:r>
        <w:rPr>
          <w:rFonts w:hint="eastAsia" w:ascii="仿宋" w:hAnsi="仿宋" w:eastAsia="仿宋"/>
          <w:sz w:val="32"/>
          <w:szCs w:val="32"/>
        </w:rPr>
        <w:t>审判工作和执行工作提供较好的服务。</w:t>
      </w:r>
    </w:p>
    <w:p>
      <w:pPr>
        <w:widowControl/>
        <w:spacing w:line="600" w:lineRule="atLeast"/>
        <w:ind w:firstLine="600"/>
        <w:jc w:val="left"/>
        <w:rPr>
          <w:rFonts w:ascii="仿宋" w:hAnsi="仿宋" w:eastAsia="仿宋" w:cs="Tahoma"/>
          <w:color w:val="000000"/>
          <w:sz w:val="32"/>
          <w:szCs w:val="32"/>
          <w:shd w:val="clear" w:color="auto" w:fill="FFFFFF"/>
        </w:rPr>
      </w:pPr>
      <w:r>
        <w:rPr>
          <w:rFonts w:hint="eastAsia" w:ascii="仿宋" w:hAnsi="仿宋" w:eastAsia="仿宋"/>
          <w:b/>
          <w:sz w:val="32"/>
          <w:szCs w:val="32"/>
        </w:rPr>
        <w:t>（三）积极使用司法技术辅助工作内网办案系统，进一步促进司法技术辅助工作流程信息公开</w:t>
      </w:r>
    </w:p>
    <w:p>
      <w:pPr>
        <w:widowControl/>
        <w:ind w:firstLine="643"/>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司法技术辅助工作的内网办案操作系统投入使用后，按照上级法院要求，我们将司法技术辅助工作从收案、审查、立案、委托选择机构至鉴定意见反馈回合议庭的全部环节进行准确、及时录入，实现了司法技术辅助工作的流程公开，使法院对外委托工作全程透明，全程留痕，确保了审判、执行部门与司法技术辅助部门工作流转过程的有效衔接。</w:t>
      </w:r>
    </w:p>
    <w:p>
      <w:pPr>
        <w:widowControl/>
        <w:jc w:val="left"/>
        <w:rPr>
          <w:rFonts w:ascii="仿宋" w:hAnsi="仿宋" w:eastAsia="仿宋" w:cs="宋体"/>
          <w:color w:val="000000"/>
          <w:kern w:val="0"/>
          <w:sz w:val="32"/>
          <w:szCs w:val="32"/>
        </w:rPr>
      </w:pPr>
    </w:p>
    <w:p>
      <w:pPr>
        <w:widowControl/>
        <w:spacing w:line="600" w:lineRule="atLeast"/>
        <w:jc w:val="left"/>
        <w:rPr>
          <w:rFonts w:ascii="仿宋" w:hAnsi="仿宋" w:eastAsia="仿宋"/>
          <w:sz w:val="32"/>
          <w:szCs w:val="32"/>
        </w:rPr>
      </w:pPr>
    </w:p>
    <w:p>
      <w:pPr>
        <w:widowControl/>
        <w:jc w:val="left"/>
        <w:rPr>
          <w:rFonts w:ascii="仿宋" w:hAnsi="仿宋" w:eastAsia="仿宋" w:cs="宋体"/>
          <w:color w:val="000000"/>
          <w:kern w:val="0"/>
          <w:sz w:val="32"/>
          <w:szCs w:val="32"/>
        </w:rPr>
      </w:pPr>
      <w:r>
        <w:rPr>
          <w:rFonts w:ascii="微软雅黑" w:hAnsi="微软雅黑" w:eastAsia="仿宋" w:cs="宋体"/>
          <w:color w:val="000000"/>
          <w:kern w:val="0"/>
          <w:sz w:val="32"/>
          <w:szCs w:val="32"/>
        </w:rPr>
        <w:t> </w:t>
      </w:r>
    </w:p>
    <w:p>
      <w:pPr>
        <w:widowControl/>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吉林市龙潭区人民法院</w:t>
      </w:r>
    </w:p>
    <w:p>
      <w:pPr>
        <w:widowControl/>
        <w:jc w:val="left"/>
        <w:rPr>
          <w:rFonts w:ascii="仿宋" w:hAnsi="仿宋" w:eastAsia="仿宋" w:cs="宋体"/>
          <w:color w:val="000000"/>
          <w:kern w:val="0"/>
          <w:sz w:val="32"/>
          <w:szCs w:val="32"/>
        </w:rPr>
      </w:pPr>
    </w:p>
    <w:p>
      <w:pPr>
        <w:widowControl/>
        <w:jc w:val="left"/>
        <w:rPr>
          <w:rFonts w:ascii="仿宋" w:hAnsi="仿宋" w:eastAsia="仿宋" w:cs="宋体"/>
          <w:color w:val="000000"/>
          <w:kern w:val="0"/>
          <w:sz w:val="32"/>
          <w:szCs w:val="32"/>
        </w:rPr>
      </w:pPr>
      <w:r>
        <w:rPr>
          <w:rFonts w:ascii="微软雅黑" w:hAnsi="微软雅黑"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FF0000"/>
          <w:kern w:val="0"/>
          <w:sz w:val="32"/>
          <w:szCs w:val="32"/>
        </w:rPr>
        <w:t>二</w:t>
      </w:r>
      <w:r>
        <w:rPr>
          <w:rFonts w:hint="eastAsia" w:ascii="仿宋" w:hAnsi="仿宋" w:eastAsia="仿宋" w:cs="宋体"/>
          <w:color w:val="FF0000"/>
          <w:kern w:val="0"/>
          <w:sz w:val="32"/>
          <w:szCs w:val="32"/>
        </w:rPr>
        <w:t>〇</w:t>
      </w:r>
      <w:r>
        <w:rPr>
          <w:rFonts w:ascii="仿宋" w:hAnsi="仿宋" w:eastAsia="仿宋" w:cs="宋体"/>
          <w:color w:val="FF0000"/>
          <w:kern w:val="0"/>
          <w:sz w:val="32"/>
          <w:szCs w:val="32"/>
        </w:rPr>
        <w:t>二</w:t>
      </w:r>
      <w:r>
        <w:rPr>
          <w:rFonts w:hint="eastAsia" w:ascii="仿宋" w:hAnsi="仿宋" w:eastAsia="仿宋" w:cs="宋体"/>
          <w:color w:val="FF0000"/>
          <w:kern w:val="0"/>
          <w:sz w:val="32"/>
          <w:szCs w:val="32"/>
          <w:lang w:eastAsia="zh-CN"/>
        </w:rPr>
        <w:t>二</w:t>
      </w:r>
      <w:r>
        <w:rPr>
          <w:rFonts w:ascii="仿宋" w:hAnsi="仿宋" w:eastAsia="仿宋" w:cs="宋体"/>
          <w:color w:val="000000"/>
          <w:kern w:val="0"/>
          <w:sz w:val="32"/>
          <w:szCs w:val="32"/>
        </w:rPr>
        <w:t>年</w:t>
      </w:r>
      <w:r>
        <w:rPr>
          <w:rFonts w:hint="eastAsia" w:ascii="仿宋" w:hAnsi="仿宋" w:eastAsia="仿宋" w:cs="宋体"/>
          <w:color w:val="FF0000"/>
          <w:kern w:val="0"/>
          <w:sz w:val="32"/>
          <w:szCs w:val="32"/>
        </w:rPr>
        <w:t>十</w:t>
      </w:r>
      <w:r>
        <w:rPr>
          <w:rFonts w:ascii="仿宋" w:hAnsi="仿宋" w:eastAsia="仿宋" w:cs="宋体"/>
          <w:color w:val="FF0000"/>
          <w:kern w:val="0"/>
          <w:sz w:val="32"/>
          <w:szCs w:val="32"/>
        </w:rPr>
        <w:t>月</w:t>
      </w:r>
      <w:r>
        <w:rPr>
          <w:rFonts w:hint="eastAsia" w:ascii="仿宋" w:hAnsi="仿宋" w:eastAsia="仿宋" w:cs="宋体"/>
          <w:color w:val="FF0000"/>
          <w:kern w:val="0"/>
          <w:sz w:val="32"/>
          <w:szCs w:val="32"/>
          <w:lang w:eastAsia="zh-CN"/>
        </w:rPr>
        <w:t>一</w:t>
      </w:r>
      <w:r>
        <w:rPr>
          <w:rFonts w:ascii="仿宋" w:hAnsi="仿宋" w:eastAsia="仿宋"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iNzQ3ZjkzZmNhY2JiNmJhNTExYjg5NGIyYmZjMjkifQ=="/>
  </w:docVars>
  <w:rsids>
    <w:rsidRoot w:val="00556C9C"/>
    <w:rsid w:val="0006385C"/>
    <w:rsid w:val="00454D78"/>
    <w:rsid w:val="00522C41"/>
    <w:rsid w:val="00556C9C"/>
    <w:rsid w:val="007637C8"/>
    <w:rsid w:val="00775DD9"/>
    <w:rsid w:val="00840F59"/>
    <w:rsid w:val="00892129"/>
    <w:rsid w:val="009833FD"/>
    <w:rsid w:val="009D4F38"/>
    <w:rsid w:val="00BB0BA4"/>
    <w:rsid w:val="00C057E5"/>
    <w:rsid w:val="00DE5320"/>
    <w:rsid w:val="00FA0346"/>
    <w:rsid w:val="5911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795</Words>
  <Characters>835</Characters>
  <Lines>6</Lines>
  <Paragraphs>1</Paragraphs>
  <TotalTime>40</TotalTime>
  <ScaleCrop>false</ScaleCrop>
  <LinksUpToDate>false</LinksUpToDate>
  <CharactersWithSpaces>894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2021-11-05T03:27:00Z</dcterms:created>
  <dc:creator>Administrator</dc:creator>
  <cp:lastModifiedBy>宿安惹</cp:lastModifiedBy>
  <dcterms:modified xsi:type="dcterms:W3CDTF">2022-10-12T01:27:50Z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6033118EB13D4182A1B807C6801B19A1</vt:lpwstr>
  </property>
</Properties>
</file>