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D0" w:rsidRPr="008B548F" w:rsidRDefault="00B32B0B" w:rsidP="006842E3">
      <w:pPr>
        <w:snapToGrid w:val="0"/>
        <w:spacing w:line="480" w:lineRule="atLeast"/>
        <w:ind w:firstLineChars="200" w:firstLine="600"/>
        <w:rPr>
          <w:rFonts w:ascii="仿宋_GB2312" w:eastAsia="仿宋_GB2312" w:hAnsi="宋体"/>
          <w:sz w:val="30"/>
          <w:szCs w:val="30"/>
        </w:rPr>
      </w:pPr>
      <w:r w:rsidRPr="008B548F">
        <w:rPr>
          <w:rFonts w:ascii="仿宋_GB2312" w:eastAsia="仿宋_GB2312" w:hAnsi="宋体" w:hint="eastAsia"/>
          <w:sz w:val="30"/>
          <w:szCs w:val="30"/>
        </w:rPr>
        <w:t>202</w:t>
      </w:r>
      <w:r w:rsidR="0033401C" w:rsidRPr="008B548F">
        <w:rPr>
          <w:rFonts w:ascii="仿宋_GB2312" w:eastAsia="仿宋_GB2312" w:hAnsi="宋体" w:hint="eastAsia"/>
          <w:sz w:val="30"/>
          <w:szCs w:val="30"/>
        </w:rPr>
        <w:t>2</w:t>
      </w:r>
      <w:r w:rsidR="00622AD0" w:rsidRPr="008B548F">
        <w:rPr>
          <w:rFonts w:ascii="仿宋_GB2312" w:eastAsia="仿宋_GB2312" w:hAnsi="宋体" w:hint="eastAsia"/>
          <w:sz w:val="30"/>
          <w:szCs w:val="30"/>
        </w:rPr>
        <w:t>年，龙潭法院</w:t>
      </w:r>
      <w:r w:rsidR="002742E7" w:rsidRPr="008B548F">
        <w:rPr>
          <w:rFonts w:ascii="仿宋_GB2312" w:eastAsia="仿宋_GB2312" w:hAnsi="宋体" w:hint="eastAsia"/>
          <w:sz w:val="30"/>
          <w:szCs w:val="30"/>
        </w:rPr>
        <w:t>坚持以习近平新时代中国特色社会主义思想为指导，</w:t>
      </w:r>
      <w:r w:rsidR="0033401C" w:rsidRPr="008B548F">
        <w:rPr>
          <w:rFonts w:ascii="仿宋_GB2312" w:eastAsia="仿宋_GB2312" w:hAnsi="宋体" w:hint="eastAsia"/>
          <w:sz w:val="30"/>
          <w:szCs w:val="30"/>
        </w:rPr>
        <w:t>深入学习贯彻习近平法治思想，</w:t>
      </w:r>
      <w:r w:rsidR="00E12CF7" w:rsidRPr="008B548F">
        <w:rPr>
          <w:rFonts w:ascii="仿宋_GB2312" w:eastAsia="仿宋_GB2312" w:hAnsi="宋体" w:hint="eastAsia"/>
          <w:sz w:val="30"/>
          <w:szCs w:val="30"/>
        </w:rPr>
        <w:t>紧紧围绕“努力让人民群众在每一个司法案件中感受到公平正义”的目标，</w:t>
      </w:r>
      <w:r w:rsidR="002742E7" w:rsidRPr="008B548F">
        <w:rPr>
          <w:rFonts w:ascii="仿宋_GB2312" w:eastAsia="仿宋_GB2312" w:hAnsi="宋体" w:hint="eastAsia"/>
          <w:sz w:val="30"/>
          <w:szCs w:val="30"/>
        </w:rPr>
        <w:t>充分发挥行政审判职能，依法审理各类行政案件，妥善化解矛盾纠纷，着力提升行政审判能力水平和司法公信力，为</w:t>
      </w:r>
      <w:r w:rsidR="004302FA" w:rsidRPr="008B548F">
        <w:rPr>
          <w:rFonts w:ascii="仿宋_GB2312" w:eastAsia="仿宋_GB2312" w:hAnsi="宋体" w:hint="eastAsia"/>
          <w:sz w:val="30"/>
          <w:szCs w:val="30"/>
        </w:rPr>
        <w:t>法治政府</w:t>
      </w:r>
      <w:r w:rsidR="002742E7" w:rsidRPr="008B548F">
        <w:rPr>
          <w:rFonts w:ascii="仿宋_GB2312" w:eastAsia="仿宋_GB2312" w:hAnsi="宋体" w:hint="eastAsia"/>
          <w:sz w:val="30"/>
          <w:szCs w:val="30"/>
        </w:rPr>
        <w:t>建设提供</w:t>
      </w:r>
      <w:r w:rsidR="00DD56E5" w:rsidRPr="008B548F">
        <w:rPr>
          <w:rFonts w:ascii="仿宋_GB2312" w:eastAsia="仿宋_GB2312" w:hAnsi="宋体" w:hint="eastAsia"/>
          <w:sz w:val="30"/>
          <w:szCs w:val="30"/>
        </w:rPr>
        <w:t>强</w:t>
      </w:r>
      <w:r w:rsidR="002742E7" w:rsidRPr="008B548F">
        <w:rPr>
          <w:rFonts w:ascii="仿宋_GB2312" w:eastAsia="仿宋_GB2312" w:hAnsi="宋体" w:hint="eastAsia"/>
          <w:sz w:val="30"/>
          <w:szCs w:val="30"/>
        </w:rPr>
        <w:t>有力</w:t>
      </w:r>
      <w:r w:rsidR="00DD56E5" w:rsidRPr="008B548F">
        <w:rPr>
          <w:rFonts w:ascii="仿宋_GB2312" w:eastAsia="仿宋_GB2312" w:hAnsi="宋体" w:hint="eastAsia"/>
          <w:sz w:val="30"/>
          <w:szCs w:val="30"/>
        </w:rPr>
        <w:t>的</w:t>
      </w:r>
      <w:r w:rsidR="002742E7" w:rsidRPr="008B548F">
        <w:rPr>
          <w:rFonts w:ascii="仿宋_GB2312" w:eastAsia="仿宋_GB2312" w:hAnsi="宋体" w:hint="eastAsia"/>
          <w:sz w:val="30"/>
          <w:szCs w:val="30"/>
        </w:rPr>
        <w:t>司法服务和保障。</w:t>
      </w:r>
      <w:r w:rsidR="00622AD0" w:rsidRPr="008B548F">
        <w:rPr>
          <w:rFonts w:ascii="仿宋_GB2312" w:eastAsia="仿宋_GB2312" w:hAnsi="宋体" w:hint="eastAsia"/>
          <w:sz w:val="30"/>
          <w:szCs w:val="30"/>
        </w:rPr>
        <w:t>龙潭法院在对我区涉诉行政案件进行</w:t>
      </w:r>
      <w:r w:rsidR="002860BF" w:rsidRPr="008B548F">
        <w:rPr>
          <w:rFonts w:ascii="仿宋_GB2312" w:eastAsia="仿宋_GB2312" w:hAnsi="宋体" w:hint="eastAsia"/>
          <w:sz w:val="30"/>
          <w:szCs w:val="30"/>
        </w:rPr>
        <w:t>总结、</w:t>
      </w:r>
      <w:r w:rsidR="00622AD0" w:rsidRPr="008B548F">
        <w:rPr>
          <w:rFonts w:ascii="仿宋_GB2312" w:eastAsia="仿宋_GB2312" w:hAnsi="宋体" w:hint="eastAsia"/>
          <w:sz w:val="30"/>
          <w:szCs w:val="30"/>
        </w:rPr>
        <w:t>梳理和分析的基础上，对行政机关</w:t>
      </w:r>
      <w:r w:rsidR="005965A1" w:rsidRPr="008B548F">
        <w:rPr>
          <w:rFonts w:ascii="仿宋_GB2312" w:eastAsia="仿宋_GB2312" w:hAnsi="宋体" w:hint="eastAsia"/>
          <w:sz w:val="30"/>
          <w:szCs w:val="30"/>
        </w:rPr>
        <w:t>具体涉诉行政行为</w:t>
      </w:r>
      <w:r w:rsidR="00622AD0" w:rsidRPr="008B548F">
        <w:rPr>
          <w:rFonts w:ascii="仿宋_GB2312" w:eastAsia="仿宋_GB2312" w:hAnsi="宋体" w:hint="eastAsia"/>
          <w:sz w:val="30"/>
          <w:szCs w:val="30"/>
        </w:rPr>
        <w:t>存</w:t>
      </w:r>
      <w:r w:rsidR="005965A1" w:rsidRPr="008B548F">
        <w:rPr>
          <w:rFonts w:ascii="仿宋_GB2312" w:eastAsia="仿宋_GB2312" w:hAnsi="宋体" w:hint="eastAsia"/>
          <w:sz w:val="30"/>
          <w:szCs w:val="30"/>
        </w:rPr>
        <w:t>在的问题以及情况进行了总结，并提出了相应的建议</w:t>
      </w:r>
      <w:r w:rsidR="005C1169" w:rsidRPr="008B548F">
        <w:rPr>
          <w:rFonts w:ascii="仿宋_GB2312" w:eastAsia="仿宋_GB2312" w:hAnsi="宋体" w:hint="eastAsia"/>
          <w:sz w:val="30"/>
          <w:szCs w:val="30"/>
        </w:rPr>
        <w:t>，</w:t>
      </w:r>
      <w:r w:rsidR="00603CEB" w:rsidRPr="008B548F">
        <w:rPr>
          <w:rFonts w:ascii="仿宋_GB2312" w:eastAsia="仿宋_GB2312" w:hAnsi="宋体" w:hint="eastAsia"/>
          <w:sz w:val="30"/>
          <w:szCs w:val="30"/>
        </w:rPr>
        <w:t>将</w:t>
      </w:r>
      <w:r w:rsidR="00622AD0" w:rsidRPr="008B548F">
        <w:rPr>
          <w:rFonts w:ascii="仿宋_GB2312" w:eastAsia="仿宋_GB2312" w:hAnsi="宋体" w:hint="eastAsia"/>
          <w:sz w:val="30"/>
          <w:szCs w:val="30"/>
        </w:rPr>
        <w:t>为促进</w:t>
      </w:r>
      <w:r w:rsidR="005965A1" w:rsidRPr="008B548F">
        <w:rPr>
          <w:rFonts w:ascii="仿宋_GB2312" w:eastAsia="仿宋_GB2312" w:hAnsi="宋体" w:hint="eastAsia"/>
          <w:sz w:val="30"/>
          <w:szCs w:val="30"/>
        </w:rPr>
        <w:t>龙潭区</w:t>
      </w:r>
      <w:r w:rsidR="00406174" w:rsidRPr="008B548F">
        <w:rPr>
          <w:rFonts w:ascii="仿宋_GB2312" w:eastAsia="仿宋_GB2312" w:hAnsi="宋体" w:hint="eastAsia"/>
          <w:sz w:val="30"/>
          <w:szCs w:val="30"/>
        </w:rPr>
        <w:t>法治政府建设，增强各行政机关依法行政，</w:t>
      </w:r>
      <w:r w:rsidR="00622AD0" w:rsidRPr="008B548F">
        <w:rPr>
          <w:rFonts w:ascii="仿宋_GB2312" w:eastAsia="仿宋_GB2312" w:hAnsi="宋体" w:hint="eastAsia"/>
          <w:sz w:val="30"/>
          <w:szCs w:val="30"/>
        </w:rPr>
        <w:t>保障行政相对人的合法权益</w:t>
      </w:r>
      <w:r w:rsidR="005965A1" w:rsidRPr="008B548F">
        <w:rPr>
          <w:rFonts w:ascii="仿宋_GB2312" w:eastAsia="仿宋_GB2312" w:hAnsi="宋体" w:hint="eastAsia"/>
          <w:sz w:val="30"/>
          <w:szCs w:val="30"/>
        </w:rPr>
        <w:t>发挥</w:t>
      </w:r>
      <w:r w:rsidR="005C1169" w:rsidRPr="008B548F">
        <w:rPr>
          <w:rFonts w:ascii="仿宋_GB2312" w:eastAsia="仿宋_GB2312" w:hAnsi="宋体" w:hint="eastAsia"/>
          <w:sz w:val="30"/>
          <w:szCs w:val="30"/>
        </w:rPr>
        <w:t>积极</w:t>
      </w:r>
      <w:r w:rsidR="005965A1" w:rsidRPr="008B548F">
        <w:rPr>
          <w:rFonts w:ascii="仿宋_GB2312" w:eastAsia="仿宋_GB2312" w:hAnsi="宋体" w:hint="eastAsia"/>
          <w:sz w:val="30"/>
          <w:szCs w:val="30"/>
        </w:rPr>
        <w:t>作用，具体如下：</w:t>
      </w:r>
    </w:p>
    <w:p w:rsidR="00622AD0" w:rsidRPr="008B548F" w:rsidRDefault="00622AD0" w:rsidP="00622AD0">
      <w:pPr>
        <w:snapToGrid w:val="0"/>
        <w:spacing w:line="480" w:lineRule="atLeast"/>
        <w:ind w:firstLineChars="200" w:firstLine="602"/>
        <w:rPr>
          <w:rFonts w:ascii="仿宋_GB2312" w:eastAsia="仿宋_GB2312" w:hAnsi="宋体"/>
          <w:b/>
          <w:sz w:val="30"/>
          <w:szCs w:val="30"/>
        </w:rPr>
      </w:pPr>
      <w:r w:rsidRPr="008B548F">
        <w:rPr>
          <w:rFonts w:ascii="仿宋_GB2312" w:eastAsia="仿宋_GB2312" w:hAnsi="宋体" w:hint="eastAsia"/>
          <w:b/>
          <w:sz w:val="30"/>
          <w:szCs w:val="30"/>
        </w:rPr>
        <w:t>一、</w:t>
      </w:r>
      <w:r w:rsidR="00B32B0B" w:rsidRPr="008B548F">
        <w:rPr>
          <w:rFonts w:ascii="仿宋_GB2312" w:eastAsia="仿宋_GB2312" w:hAnsi="宋体" w:hint="eastAsia"/>
          <w:b/>
          <w:sz w:val="30"/>
          <w:szCs w:val="30"/>
        </w:rPr>
        <w:t>20</w:t>
      </w:r>
      <w:r w:rsidR="002742E7" w:rsidRPr="008B548F">
        <w:rPr>
          <w:rFonts w:ascii="仿宋_GB2312" w:eastAsia="仿宋_GB2312" w:hAnsi="宋体" w:hint="eastAsia"/>
          <w:b/>
          <w:sz w:val="30"/>
          <w:szCs w:val="30"/>
        </w:rPr>
        <w:t>2</w:t>
      </w:r>
      <w:r w:rsidR="00E12CF7" w:rsidRPr="008B548F">
        <w:rPr>
          <w:rFonts w:ascii="仿宋_GB2312" w:eastAsia="仿宋_GB2312" w:hAnsi="宋体" w:hint="eastAsia"/>
          <w:b/>
          <w:sz w:val="30"/>
          <w:szCs w:val="30"/>
        </w:rPr>
        <w:t>2</w:t>
      </w:r>
      <w:r w:rsidRPr="008B548F">
        <w:rPr>
          <w:rFonts w:ascii="仿宋_GB2312" w:eastAsia="仿宋_GB2312" w:hAnsi="宋体" w:hint="eastAsia"/>
          <w:b/>
          <w:sz w:val="30"/>
          <w:szCs w:val="30"/>
        </w:rPr>
        <w:t>年</w:t>
      </w:r>
      <w:r w:rsidR="0047236B" w:rsidRPr="008B548F">
        <w:rPr>
          <w:rFonts w:ascii="仿宋_GB2312" w:eastAsia="仿宋_GB2312" w:hAnsi="宋体" w:hint="eastAsia"/>
          <w:b/>
          <w:sz w:val="30"/>
          <w:szCs w:val="30"/>
        </w:rPr>
        <w:t>龙潭法</w:t>
      </w:r>
      <w:r w:rsidRPr="008B548F">
        <w:rPr>
          <w:rFonts w:ascii="仿宋_GB2312" w:eastAsia="仿宋_GB2312" w:hAnsi="宋体" w:hint="eastAsia"/>
          <w:b/>
          <w:sz w:val="30"/>
          <w:szCs w:val="30"/>
        </w:rPr>
        <w:t>院受理行政诉讼案件和非诉审查执行案件的基本情况</w:t>
      </w:r>
    </w:p>
    <w:p w:rsidR="00622AD0" w:rsidRPr="008B548F" w:rsidRDefault="00B32B0B" w:rsidP="00622AD0">
      <w:pPr>
        <w:snapToGrid w:val="0"/>
        <w:spacing w:line="480" w:lineRule="atLeast"/>
        <w:ind w:firstLine="660"/>
        <w:rPr>
          <w:rFonts w:ascii="仿宋_GB2312" w:eastAsia="仿宋_GB2312" w:hAnsi="宋体"/>
          <w:sz w:val="30"/>
          <w:szCs w:val="30"/>
        </w:rPr>
      </w:pPr>
      <w:r w:rsidRPr="008B548F">
        <w:rPr>
          <w:rFonts w:ascii="仿宋_GB2312" w:eastAsia="仿宋_GB2312" w:hAnsi="宋体" w:hint="eastAsia"/>
          <w:sz w:val="30"/>
          <w:szCs w:val="30"/>
        </w:rPr>
        <w:t>20</w:t>
      </w:r>
      <w:r w:rsidR="002742E7" w:rsidRPr="008B548F">
        <w:rPr>
          <w:rFonts w:ascii="仿宋_GB2312" w:eastAsia="仿宋_GB2312" w:hAnsi="宋体" w:hint="eastAsia"/>
          <w:sz w:val="30"/>
          <w:szCs w:val="30"/>
        </w:rPr>
        <w:t>2</w:t>
      </w:r>
      <w:r w:rsidR="00E12CF7" w:rsidRPr="008B548F">
        <w:rPr>
          <w:rFonts w:ascii="仿宋_GB2312" w:eastAsia="仿宋_GB2312" w:hAnsi="宋体" w:hint="eastAsia"/>
          <w:sz w:val="30"/>
          <w:szCs w:val="30"/>
        </w:rPr>
        <w:t>2</w:t>
      </w:r>
      <w:r w:rsidR="00622AD0" w:rsidRPr="008B548F">
        <w:rPr>
          <w:rFonts w:ascii="仿宋_GB2312" w:eastAsia="仿宋_GB2312" w:hAnsi="宋体" w:hint="eastAsia"/>
          <w:sz w:val="30"/>
          <w:szCs w:val="30"/>
        </w:rPr>
        <w:t>年（1月至</w:t>
      </w:r>
      <w:r w:rsidR="00E12CF7" w:rsidRPr="008B548F">
        <w:rPr>
          <w:rFonts w:ascii="仿宋_GB2312" w:eastAsia="仿宋_GB2312" w:hAnsi="宋体" w:hint="eastAsia"/>
          <w:sz w:val="30"/>
          <w:szCs w:val="30"/>
        </w:rPr>
        <w:t>12</w:t>
      </w:r>
      <w:r w:rsidR="00622AD0" w:rsidRPr="008B548F">
        <w:rPr>
          <w:rFonts w:ascii="仿宋_GB2312" w:eastAsia="仿宋_GB2312" w:hAnsi="宋体" w:hint="eastAsia"/>
          <w:sz w:val="30"/>
          <w:szCs w:val="30"/>
        </w:rPr>
        <w:t>月份），我院共受理行政案件</w:t>
      </w:r>
      <w:r w:rsidR="00E12CF7" w:rsidRPr="008B548F">
        <w:rPr>
          <w:rFonts w:ascii="仿宋_GB2312" w:eastAsia="仿宋_GB2312" w:hAnsi="宋体" w:hint="eastAsia"/>
          <w:sz w:val="30"/>
          <w:szCs w:val="30"/>
        </w:rPr>
        <w:t>30</w:t>
      </w:r>
      <w:r w:rsidR="00622AD0" w:rsidRPr="008B548F">
        <w:rPr>
          <w:rFonts w:ascii="仿宋_GB2312" w:eastAsia="仿宋_GB2312" w:hAnsi="宋体" w:hint="eastAsia"/>
          <w:sz w:val="30"/>
          <w:szCs w:val="30"/>
        </w:rPr>
        <w:t>件，审结</w:t>
      </w:r>
      <w:r w:rsidR="00E12CF7" w:rsidRPr="008B548F">
        <w:rPr>
          <w:rFonts w:ascii="仿宋_GB2312" w:eastAsia="仿宋_GB2312" w:hAnsi="宋体" w:hint="eastAsia"/>
          <w:sz w:val="30"/>
          <w:szCs w:val="30"/>
        </w:rPr>
        <w:t>30</w:t>
      </w:r>
      <w:r w:rsidR="00622AD0" w:rsidRPr="008B548F">
        <w:rPr>
          <w:rFonts w:ascii="仿宋_GB2312" w:eastAsia="仿宋_GB2312" w:hAnsi="宋体" w:hint="eastAsia"/>
          <w:sz w:val="30"/>
          <w:szCs w:val="30"/>
        </w:rPr>
        <w:t>件，结案率为100%</w:t>
      </w:r>
      <w:r w:rsidR="005C1169" w:rsidRPr="008B548F">
        <w:rPr>
          <w:rFonts w:ascii="仿宋_GB2312" w:eastAsia="仿宋_GB2312" w:hAnsi="宋体" w:hint="eastAsia"/>
          <w:sz w:val="30"/>
          <w:szCs w:val="30"/>
        </w:rPr>
        <w:t>；</w:t>
      </w:r>
      <w:r w:rsidR="00622AD0" w:rsidRPr="008B548F">
        <w:rPr>
          <w:rFonts w:ascii="仿宋_GB2312" w:eastAsia="仿宋_GB2312" w:hAnsi="宋体" w:hint="eastAsia"/>
          <w:sz w:val="30"/>
          <w:szCs w:val="30"/>
        </w:rPr>
        <w:t>其中一审诉讼案件</w:t>
      </w:r>
      <w:r w:rsidR="00DD56E5" w:rsidRPr="008B548F">
        <w:rPr>
          <w:rFonts w:ascii="仿宋_GB2312" w:eastAsia="仿宋_GB2312" w:hAnsi="宋体" w:hint="eastAsia"/>
          <w:sz w:val="30"/>
          <w:szCs w:val="30"/>
        </w:rPr>
        <w:t>受</w:t>
      </w:r>
      <w:r w:rsidR="00622AD0" w:rsidRPr="008B548F">
        <w:rPr>
          <w:rFonts w:ascii="仿宋_GB2312" w:eastAsia="仿宋_GB2312" w:hAnsi="宋体" w:hint="eastAsia"/>
          <w:sz w:val="30"/>
          <w:szCs w:val="30"/>
        </w:rPr>
        <w:t>案</w:t>
      </w:r>
      <w:r w:rsidR="00E12CF7" w:rsidRPr="008B548F">
        <w:rPr>
          <w:rFonts w:ascii="仿宋_GB2312" w:eastAsia="仿宋_GB2312" w:hAnsi="宋体" w:hint="eastAsia"/>
          <w:sz w:val="30"/>
          <w:szCs w:val="30"/>
        </w:rPr>
        <w:t>12</w:t>
      </w:r>
      <w:r w:rsidR="00622AD0" w:rsidRPr="008B548F">
        <w:rPr>
          <w:rFonts w:ascii="仿宋_GB2312" w:eastAsia="仿宋_GB2312" w:hAnsi="宋体" w:hint="eastAsia"/>
          <w:sz w:val="30"/>
          <w:szCs w:val="30"/>
        </w:rPr>
        <w:t>件，</w:t>
      </w:r>
      <w:r w:rsidR="00E12CF7" w:rsidRPr="008B548F">
        <w:rPr>
          <w:rFonts w:ascii="仿宋_GB2312" w:eastAsia="仿宋_GB2312" w:hAnsi="宋体" w:hint="eastAsia"/>
          <w:sz w:val="30"/>
          <w:szCs w:val="30"/>
        </w:rPr>
        <w:t>与2021年持平</w:t>
      </w:r>
      <w:r w:rsidR="00622AD0" w:rsidRPr="008B548F">
        <w:rPr>
          <w:rFonts w:ascii="仿宋_GB2312" w:eastAsia="仿宋_GB2312" w:hAnsi="宋体" w:hint="eastAsia"/>
          <w:color w:val="000000"/>
          <w:sz w:val="30"/>
          <w:szCs w:val="30"/>
        </w:rPr>
        <w:t>；</w:t>
      </w:r>
      <w:r w:rsidR="00622AD0" w:rsidRPr="008B548F">
        <w:rPr>
          <w:rFonts w:ascii="仿宋_GB2312" w:eastAsia="仿宋_GB2312" w:hAnsi="宋体" w:hint="eastAsia"/>
          <w:sz w:val="30"/>
          <w:szCs w:val="30"/>
        </w:rPr>
        <w:t>行政非诉审查执行案件</w:t>
      </w:r>
      <w:r w:rsidR="0047236B" w:rsidRPr="008B548F">
        <w:rPr>
          <w:rFonts w:ascii="仿宋_GB2312" w:eastAsia="仿宋_GB2312" w:hAnsi="宋体" w:hint="eastAsia"/>
          <w:sz w:val="30"/>
          <w:szCs w:val="30"/>
        </w:rPr>
        <w:t>受</w:t>
      </w:r>
      <w:r w:rsidR="00622AD0" w:rsidRPr="008B548F">
        <w:rPr>
          <w:rFonts w:ascii="仿宋_GB2312" w:eastAsia="仿宋_GB2312" w:hAnsi="宋体" w:hint="eastAsia"/>
          <w:sz w:val="30"/>
          <w:szCs w:val="30"/>
        </w:rPr>
        <w:t>案</w:t>
      </w:r>
      <w:r w:rsidR="00E12CF7" w:rsidRPr="008B548F">
        <w:rPr>
          <w:rFonts w:ascii="仿宋_GB2312" w:eastAsia="仿宋_GB2312" w:hAnsi="宋体" w:hint="eastAsia"/>
          <w:sz w:val="30"/>
          <w:szCs w:val="30"/>
        </w:rPr>
        <w:t>18</w:t>
      </w:r>
      <w:r w:rsidR="00622AD0" w:rsidRPr="008B548F">
        <w:rPr>
          <w:rFonts w:ascii="仿宋_GB2312" w:eastAsia="仿宋_GB2312" w:hAnsi="宋体" w:hint="eastAsia"/>
          <w:sz w:val="30"/>
          <w:szCs w:val="30"/>
        </w:rPr>
        <w:t>件，同比</w:t>
      </w:r>
      <w:r w:rsidR="00865854" w:rsidRPr="008B548F">
        <w:rPr>
          <w:rFonts w:ascii="仿宋_GB2312" w:eastAsia="仿宋_GB2312" w:hAnsi="宋体" w:hint="eastAsia"/>
          <w:sz w:val="30"/>
          <w:szCs w:val="30"/>
        </w:rPr>
        <w:t>20</w:t>
      </w:r>
      <w:r w:rsidR="00E12CF7" w:rsidRPr="008B548F">
        <w:rPr>
          <w:rFonts w:ascii="仿宋_GB2312" w:eastAsia="仿宋_GB2312" w:hAnsi="宋体" w:hint="eastAsia"/>
          <w:sz w:val="30"/>
          <w:szCs w:val="30"/>
        </w:rPr>
        <w:t>21</w:t>
      </w:r>
      <w:r w:rsidR="00622AD0" w:rsidRPr="008B548F">
        <w:rPr>
          <w:rFonts w:ascii="仿宋_GB2312" w:eastAsia="仿宋_GB2312" w:hAnsi="宋体" w:hint="eastAsia"/>
          <w:sz w:val="30"/>
          <w:szCs w:val="30"/>
        </w:rPr>
        <w:t>年</w:t>
      </w:r>
      <w:r w:rsidR="0047236B" w:rsidRPr="008B548F">
        <w:rPr>
          <w:rFonts w:ascii="仿宋_GB2312" w:eastAsia="仿宋_GB2312" w:hAnsi="宋体" w:hint="eastAsia"/>
          <w:sz w:val="30"/>
          <w:szCs w:val="30"/>
        </w:rPr>
        <w:t>受</w:t>
      </w:r>
      <w:r w:rsidR="00622AD0" w:rsidRPr="008B548F">
        <w:rPr>
          <w:rFonts w:ascii="仿宋_GB2312" w:eastAsia="仿宋_GB2312" w:hAnsi="宋体" w:hint="eastAsia"/>
          <w:sz w:val="30"/>
          <w:szCs w:val="30"/>
        </w:rPr>
        <w:t>案</w:t>
      </w:r>
      <w:r w:rsidR="00E12CF7" w:rsidRPr="008B548F">
        <w:rPr>
          <w:rFonts w:ascii="仿宋_GB2312" w:eastAsia="仿宋_GB2312" w:hAnsi="宋体" w:hint="eastAsia"/>
          <w:sz w:val="30"/>
          <w:szCs w:val="30"/>
        </w:rPr>
        <w:t>28</w:t>
      </w:r>
      <w:r w:rsidR="00622AD0" w:rsidRPr="008B548F">
        <w:rPr>
          <w:rFonts w:ascii="仿宋_GB2312" w:eastAsia="仿宋_GB2312" w:hAnsi="宋体" w:hint="eastAsia"/>
          <w:sz w:val="30"/>
          <w:szCs w:val="30"/>
        </w:rPr>
        <w:t>件下降</w:t>
      </w:r>
      <w:r w:rsidR="0018335A" w:rsidRPr="008B548F">
        <w:rPr>
          <w:rFonts w:ascii="仿宋_GB2312" w:eastAsia="仿宋_GB2312" w:hAnsi="宋体" w:hint="eastAsia"/>
          <w:sz w:val="30"/>
          <w:szCs w:val="30"/>
        </w:rPr>
        <w:t>了</w:t>
      </w:r>
      <w:r w:rsidR="00E12CF7" w:rsidRPr="008B548F">
        <w:rPr>
          <w:rFonts w:ascii="仿宋_GB2312" w:eastAsia="仿宋_GB2312" w:hAnsi="宋体" w:hint="eastAsia"/>
          <w:sz w:val="30"/>
          <w:szCs w:val="30"/>
        </w:rPr>
        <w:t>35.71</w:t>
      </w:r>
      <w:r w:rsidR="0018335A" w:rsidRPr="008B548F">
        <w:rPr>
          <w:rFonts w:ascii="仿宋_GB2312" w:eastAsia="仿宋_GB2312" w:hAnsi="宋体" w:hint="eastAsia"/>
          <w:sz w:val="30"/>
          <w:szCs w:val="30"/>
        </w:rPr>
        <w:t>%</w:t>
      </w:r>
      <w:r w:rsidR="00622AD0" w:rsidRPr="008B548F">
        <w:rPr>
          <w:rFonts w:ascii="仿宋_GB2312" w:eastAsia="仿宋_GB2312" w:hAnsi="宋体" w:hint="eastAsia"/>
          <w:sz w:val="30"/>
          <w:szCs w:val="30"/>
        </w:rPr>
        <w:t>（见表一）。</w:t>
      </w:r>
    </w:p>
    <w:p w:rsidR="005C1169" w:rsidRPr="008B548F" w:rsidRDefault="00622AD0" w:rsidP="008B548F">
      <w:pPr>
        <w:snapToGrid w:val="0"/>
        <w:spacing w:line="480" w:lineRule="atLeast"/>
        <w:ind w:firstLineChars="650" w:firstLine="1950"/>
        <w:jc w:val="center"/>
        <w:rPr>
          <w:rFonts w:ascii="仿宋_GB2312" w:eastAsia="仿宋_GB2312" w:hAnsi="仿宋"/>
          <w:color w:val="000000"/>
          <w:sz w:val="30"/>
          <w:szCs w:val="30"/>
        </w:rPr>
      </w:pPr>
      <w:r w:rsidRPr="008B548F">
        <w:rPr>
          <w:rFonts w:ascii="仿宋_GB2312" w:eastAsia="仿宋_GB2312" w:hAnsi="仿宋" w:hint="eastAsia"/>
          <w:color w:val="000000"/>
          <w:sz w:val="30"/>
          <w:szCs w:val="30"/>
        </w:rPr>
        <w:t>表一、</w:t>
      </w:r>
      <w:r w:rsidR="0018335A" w:rsidRPr="008B548F">
        <w:rPr>
          <w:rFonts w:ascii="仿宋_GB2312" w:eastAsia="仿宋_GB2312" w:hAnsi="仿宋" w:hint="eastAsia"/>
          <w:color w:val="000000"/>
          <w:sz w:val="30"/>
          <w:szCs w:val="30"/>
        </w:rPr>
        <w:t>20</w:t>
      </w:r>
      <w:r w:rsidR="00E12CF7" w:rsidRPr="008B548F">
        <w:rPr>
          <w:rFonts w:ascii="仿宋_GB2312" w:eastAsia="仿宋_GB2312" w:hAnsi="仿宋" w:hint="eastAsia"/>
          <w:color w:val="000000"/>
          <w:sz w:val="30"/>
          <w:szCs w:val="30"/>
        </w:rPr>
        <w:t>21</w:t>
      </w:r>
      <w:r w:rsidRPr="008B548F">
        <w:rPr>
          <w:rFonts w:ascii="仿宋_GB2312" w:eastAsia="仿宋_GB2312" w:hAnsi="仿宋" w:hint="eastAsia"/>
          <w:color w:val="000000"/>
          <w:sz w:val="30"/>
          <w:szCs w:val="30"/>
        </w:rPr>
        <w:t>、</w:t>
      </w:r>
      <w:r w:rsidR="00865854" w:rsidRPr="008B548F">
        <w:rPr>
          <w:rFonts w:ascii="仿宋_GB2312" w:eastAsia="仿宋_GB2312" w:hAnsi="仿宋" w:hint="eastAsia"/>
          <w:color w:val="000000"/>
          <w:sz w:val="30"/>
          <w:szCs w:val="30"/>
        </w:rPr>
        <w:t>20</w:t>
      </w:r>
      <w:r w:rsidR="0018335A" w:rsidRPr="008B548F">
        <w:rPr>
          <w:rFonts w:ascii="仿宋_GB2312" w:eastAsia="仿宋_GB2312" w:hAnsi="仿宋" w:hint="eastAsia"/>
          <w:color w:val="000000"/>
          <w:sz w:val="30"/>
          <w:szCs w:val="30"/>
        </w:rPr>
        <w:t>2</w:t>
      </w:r>
      <w:r w:rsidR="00E12CF7" w:rsidRPr="008B548F">
        <w:rPr>
          <w:rFonts w:ascii="仿宋_GB2312" w:eastAsia="仿宋_GB2312" w:hAnsi="仿宋" w:hint="eastAsia"/>
          <w:color w:val="000000"/>
          <w:sz w:val="30"/>
          <w:szCs w:val="30"/>
        </w:rPr>
        <w:t>2</w:t>
      </w:r>
      <w:r w:rsidRPr="008B548F">
        <w:rPr>
          <w:rFonts w:ascii="仿宋_GB2312" w:eastAsia="仿宋_GB2312" w:hAnsi="仿宋" w:hint="eastAsia"/>
          <w:color w:val="000000"/>
          <w:sz w:val="30"/>
          <w:szCs w:val="30"/>
        </w:rPr>
        <w:t>年龙潭区法院行政案件收案对比图</w:t>
      </w:r>
      <w:r w:rsidR="00E36361" w:rsidRPr="008B548F">
        <w:rPr>
          <w:rFonts w:ascii="仿宋_GB2312" w:eastAsia="仿宋_GB2312" w:hAnsi="仿宋" w:hint="eastAsia"/>
          <w:noProof/>
          <w:color w:val="000000"/>
          <w:sz w:val="30"/>
          <w:szCs w:val="30"/>
        </w:rPr>
        <w:drawing>
          <wp:inline distT="0" distB="0" distL="0" distR="0">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66814" w:rsidRPr="008B548F" w:rsidRDefault="008C37B4" w:rsidP="00603CEB">
      <w:pPr>
        <w:snapToGrid w:val="0"/>
        <w:spacing w:line="480" w:lineRule="atLeast"/>
        <w:ind w:firstLine="660"/>
        <w:jc w:val="left"/>
        <w:rPr>
          <w:rFonts w:ascii="仿宋_GB2312" w:eastAsia="仿宋_GB2312" w:hAnsi="宋体"/>
          <w:sz w:val="30"/>
          <w:szCs w:val="30"/>
        </w:rPr>
      </w:pPr>
      <w:r w:rsidRPr="008B548F">
        <w:rPr>
          <w:rFonts w:ascii="仿宋_GB2312" w:eastAsia="仿宋_GB2312" w:hAnsi="宋体" w:hint="eastAsia"/>
          <w:b/>
          <w:sz w:val="30"/>
          <w:szCs w:val="30"/>
        </w:rPr>
        <w:lastRenderedPageBreak/>
        <w:t>（一）</w:t>
      </w:r>
      <w:r w:rsidR="00555073" w:rsidRPr="008B548F">
        <w:rPr>
          <w:rFonts w:ascii="仿宋_GB2312" w:eastAsia="仿宋_GB2312" w:hAnsi="宋体" w:hint="eastAsia"/>
          <w:sz w:val="30"/>
          <w:szCs w:val="30"/>
        </w:rPr>
        <w:t>202</w:t>
      </w:r>
      <w:r w:rsidR="008448DD" w:rsidRPr="008B548F">
        <w:rPr>
          <w:rFonts w:ascii="仿宋_GB2312" w:eastAsia="仿宋_GB2312" w:hAnsi="宋体" w:hint="eastAsia"/>
          <w:sz w:val="30"/>
          <w:szCs w:val="30"/>
        </w:rPr>
        <w:t>2</w:t>
      </w:r>
      <w:r w:rsidR="00622AD0" w:rsidRPr="008B548F">
        <w:rPr>
          <w:rFonts w:ascii="仿宋_GB2312" w:eastAsia="仿宋_GB2312" w:hAnsi="宋体" w:hint="eastAsia"/>
          <w:sz w:val="30"/>
          <w:szCs w:val="30"/>
        </w:rPr>
        <w:t>年，</w:t>
      </w:r>
      <w:r w:rsidR="008448DD" w:rsidRPr="008B548F">
        <w:rPr>
          <w:rFonts w:ascii="仿宋_GB2312" w:eastAsia="仿宋_GB2312" w:hAnsi="宋体" w:hint="eastAsia"/>
          <w:sz w:val="30"/>
          <w:szCs w:val="30"/>
        </w:rPr>
        <w:t>因受疫情影响，</w:t>
      </w:r>
      <w:r w:rsidR="008A5D4C" w:rsidRPr="008B548F">
        <w:rPr>
          <w:rFonts w:ascii="仿宋_GB2312" w:eastAsia="仿宋_GB2312" w:hAnsi="宋体" w:hint="eastAsia"/>
          <w:sz w:val="30"/>
          <w:szCs w:val="30"/>
        </w:rPr>
        <w:t>行政机关今年提起的</w:t>
      </w:r>
      <w:r w:rsidR="00622AD0" w:rsidRPr="008B548F">
        <w:rPr>
          <w:rFonts w:ascii="仿宋_GB2312" w:eastAsia="仿宋_GB2312" w:hAnsi="宋体" w:hint="eastAsia"/>
          <w:sz w:val="30"/>
          <w:szCs w:val="30"/>
        </w:rPr>
        <w:t>行政非诉审查案件</w:t>
      </w:r>
      <w:r w:rsidR="008448DD" w:rsidRPr="008B548F">
        <w:rPr>
          <w:rFonts w:ascii="仿宋_GB2312" w:eastAsia="仿宋_GB2312" w:hAnsi="宋体" w:hint="eastAsia"/>
          <w:sz w:val="30"/>
          <w:szCs w:val="30"/>
        </w:rPr>
        <w:t>同比2021年下降</w:t>
      </w:r>
      <w:r w:rsidR="00AB0FD2" w:rsidRPr="008B548F">
        <w:rPr>
          <w:rFonts w:ascii="仿宋_GB2312" w:eastAsia="仿宋_GB2312" w:hAnsi="宋体" w:hint="eastAsia"/>
          <w:sz w:val="30"/>
          <w:szCs w:val="30"/>
        </w:rPr>
        <w:t>10件</w:t>
      </w:r>
      <w:r w:rsidR="008448DD" w:rsidRPr="008B548F">
        <w:rPr>
          <w:rFonts w:ascii="仿宋_GB2312" w:eastAsia="仿宋_GB2312" w:hAnsi="宋体" w:hint="eastAsia"/>
          <w:sz w:val="30"/>
          <w:szCs w:val="30"/>
        </w:rPr>
        <w:t>，在</w:t>
      </w:r>
      <w:r w:rsidR="00AB0FD2" w:rsidRPr="008B548F">
        <w:rPr>
          <w:rFonts w:ascii="仿宋_GB2312" w:eastAsia="仿宋_GB2312" w:hAnsi="宋体" w:hint="eastAsia"/>
          <w:sz w:val="30"/>
          <w:szCs w:val="30"/>
        </w:rPr>
        <w:t>今年</w:t>
      </w:r>
      <w:r w:rsidR="008448DD" w:rsidRPr="008B548F">
        <w:rPr>
          <w:rFonts w:ascii="仿宋_GB2312" w:eastAsia="仿宋_GB2312" w:hAnsi="宋体" w:hint="eastAsia"/>
          <w:sz w:val="30"/>
          <w:szCs w:val="30"/>
        </w:rPr>
        <w:t>受理的18</w:t>
      </w:r>
      <w:r w:rsidR="00603CEB" w:rsidRPr="008B548F">
        <w:rPr>
          <w:rFonts w:ascii="仿宋_GB2312" w:eastAsia="仿宋_GB2312" w:hAnsi="宋体" w:hint="eastAsia"/>
          <w:sz w:val="30"/>
          <w:szCs w:val="30"/>
        </w:rPr>
        <w:t>件</w:t>
      </w:r>
      <w:r w:rsidR="008448DD" w:rsidRPr="008B548F">
        <w:rPr>
          <w:rFonts w:ascii="仿宋_GB2312" w:eastAsia="仿宋_GB2312" w:hAnsi="宋体" w:hint="eastAsia"/>
          <w:sz w:val="30"/>
          <w:szCs w:val="30"/>
        </w:rPr>
        <w:t>非诉</w:t>
      </w:r>
      <w:r w:rsidR="008A5D4C" w:rsidRPr="008B548F">
        <w:rPr>
          <w:rFonts w:ascii="仿宋_GB2312" w:eastAsia="仿宋_GB2312" w:hAnsi="宋体" w:hint="eastAsia"/>
          <w:sz w:val="30"/>
          <w:szCs w:val="30"/>
        </w:rPr>
        <w:t>案件中</w:t>
      </w:r>
      <w:r w:rsidR="00603CEB" w:rsidRPr="008B548F">
        <w:rPr>
          <w:rFonts w:ascii="仿宋_GB2312" w:eastAsia="仿宋_GB2312" w:hAnsi="宋体" w:hint="eastAsia"/>
          <w:sz w:val="30"/>
          <w:szCs w:val="30"/>
        </w:rPr>
        <w:t>，</w:t>
      </w:r>
      <w:r w:rsidR="00622AD0" w:rsidRPr="008B548F">
        <w:rPr>
          <w:rFonts w:ascii="仿宋_GB2312" w:eastAsia="仿宋_GB2312" w:hAnsi="宋体" w:hint="eastAsia"/>
          <w:sz w:val="30"/>
          <w:szCs w:val="30"/>
        </w:rPr>
        <w:t>土地行政处罚（</w:t>
      </w:r>
      <w:r w:rsidR="008A5D4C" w:rsidRPr="008B548F">
        <w:rPr>
          <w:rFonts w:ascii="仿宋_GB2312" w:eastAsia="仿宋_GB2312" w:hAnsi="宋体" w:hint="eastAsia"/>
          <w:sz w:val="30"/>
          <w:szCs w:val="30"/>
        </w:rPr>
        <w:t>5</w:t>
      </w:r>
      <w:r w:rsidR="00622AD0" w:rsidRPr="008B548F">
        <w:rPr>
          <w:rFonts w:ascii="仿宋_GB2312" w:eastAsia="仿宋_GB2312" w:hAnsi="宋体" w:hint="eastAsia"/>
          <w:sz w:val="30"/>
          <w:szCs w:val="30"/>
        </w:rPr>
        <w:t>件）、林业处罚（</w:t>
      </w:r>
      <w:r w:rsidR="008A5D4C" w:rsidRPr="008B548F">
        <w:rPr>
          <w:rFonts w:ascii="仿宋_GB2312" w:eastAsia="仿宋_GB2312" w:hAnsi="宋体" w:hint="eastAsia"/>
          <w:sz w:val="30"/>
          <w:szCs w:val="30"/>
        </w:rPr>
        <w:t>8</w:t>
      </w:r>
      <w:r w:rsidR="00622AD0" w:rsidRPr="008B548F">
        <w:rPr>
          <w:rFonts w:ascii="仿宋_GB2312" w:eastAsia="仿宋_GB2312" w:hAnsi="宋体" w:hint="eastAsia"/>
          <w:sz w:val="30"/>
          <w:szCs w:val="30"/>
        </w:rPr>
        <w:t>件）、</w:t>
      </w:r>
      <w:r w:rsidR="008A5D4C" w:rsidRPr="008B548F">
        <w:rPr>
          <w:rFonts w:ascii="仿宋_GB2312" w:eastAsia="仿宋_GB2312" w:hAnsi="宋体" w:hint="eastAsia"/>
          <w:sz w:val="30"/>
          <w:szCs w:val="30"/>
        </w:rPr>
        <w:t>龙潭区</w:t>
      </w:r>
      <w:r w:rsidR="00AB0FD2" w:rsidRPr="008B548F">
        <w:rPr>
          <w:rFonts w:ascii="仿宋_GB2312" w:eastAsia="仿宋_GB2312" w:hAnsi="宋体" w:hint="eastAsia"/>
          <w:sz w:val="30"/>
          <w:szCs w:val="30"/>
        </w:rPr>
        <w:t>人民</w:t>
      </w:r>
      <w:r w:rsidR="008A5D4C" w:rsidRPr="008B548F">
        <w:rPr>
          <w:rFonts w:ascii="仿宋_GB2312" w:eastAsia="仿宋_GB2312" w:hAnsi="宋体" w:hint="eastAsia"/>
          <w:sz w:val="30"/>
          <w:szCs w:val="30"/>
        </w:rPr>
        <w:t>政府</w:t>
      </w:r>
      <w:r w:rsidR="00622AD0" w:rsidRPr="008B548F">
        <w:rPr>
          <w:rFonts w:ascii="仿宋_GB2312" w:eastAsia="仿宋_GB2312" w:hAnsi="宋体" w:hint="eastAsia"/>
          <w:sz w:val="30"/>
          <w:szCs w:val="30"/>
        </w:rPr>
        <w:t>（</w:t>
      </w:r>
      <w:r w:rsidR="008A5D4C" w:rsidRPr="008B548F">
        <w:rPr>
          <w:rFonts w:ascii="仿宋_GB2312" w:eastAsia="仿宋_GB2312" w:hAnsi="宋体" w:hint="eastAsia"/>
          <w:sz w:val="30"/>
          <w:szCs w:val="30"/>
        </w:rPr>
        <w:t>4</w:t>
      </w:r>
      <w:r w:rsidR="00622AD0" w:rsidRPr="008B548F">
        <w:rPr>
          <w:rFonts w:ascii="仿宋_GB2312" w:eastAsia="仿宋_GB2312" w:hAnsi="宋体" w:hint="eastAsia"/>
          <w:sz w:val="30"/>
          <w:szCs w:val="30"/>
        </w:rPr>
        <w:t>件）</w:t>
      </w:r>
      <w:r w:rsidR="008A5D4C" w:rsidRPr="008B548F">
        <w:rPr>
          <w:rFonts w:ascii="仿宋_GB2312" w:eastAsia="仿宋_GB2312" w:hAnsi="宋体" w:hint="eastAsia"/>
          <w:sz w:val="30"/>
          <w:szCs w:val="30"/>
        </w:rPr>
        <w:t>、</w:t>
      </w:r>
      <w:r w:rsidR="00AB0FD2" w:rsidRPr="008B548F">
        <w:rPr>
          <w:rFonts w:ascii="仿宋_GB2312" w:eastAsia="仿宋_GB2312" w:hAnsi="仿宋" w:cs="宋体" w:hint="eastAsia"/>
          <w:color w:val="000000"/>
          <w:sz w:val="30"/>
          <w:szCs w:val="30"/>
        </w:rPr>
        <w:t>吉林化学工业循环经济示范园区管理委员会</w:t>
      </w:r>
      <w:r w:rsidR="008A5D4C" w:rsidRPr="008B548F">
        <w:rPr>
          <w:rFonts w:ascii="仿宋_GB2312" w:eastAsia="仿宋_GB2312" w:hAnsi="宋体" w:hint="eastAsia"/>
          <w:sz w:val="30"/>
          <w:szCs w:val="30"/>
        </w:rPr>
        <w:t>（1件）</w:t>
      </w:r>
      <w:r w:rsidR="00343E09" w:rsidRPr="008B548F">
        <w:rPr>
          <w:rFonts w:ascii="仿宋_GB2312" w:eastAsia="仿宋_GB2312" w:hAnsi="宋体" w:hint="eastAsia"/>
          <w:sz w:val="30"/>
          <w:szCs w:val="30"/>
        </w:rPr>
        <w:t>，涉诉行政主体</w:t>
      </w:r>
      <w:r w:rsidR="00622AD0" w:rsidRPr="008B548F">
        <w:rPr>
          <w:rFonts w:ascii="仿宋_GB2312" w:eastAsia="仿宋_GB2312" w:hAnsi="宋体" w:hint="eastAsia"/>
          <w:sz w:val="30"/>
          <w:szCs w:val="30"/>
        </w:rPr>
        <w:t>包括</w:t>
      </w:r>
      <w:r w:rsidR="008A5D4C" w:rsidRPr="008B548F">
        <w:rPr>
          <w:rFonts w:ascii="仿宋_GB2312" w:eastAsia="仿宋_GB2312" w:hAnsi="宋体" w:hint="eastAsia"/>
          <w:sz w:val="30"/>
          <w:szCs w:val="30"/>
        </w:rPr>
        <w:t>龙潭区</w:t>
      </w:r>
      <w:r w:rsidR="00AB0FD2" w:rsidRPr="008B548F">
        <w:rPr>
          <w:rFonts w:ascii="仿宋_GB2312" w:eastAsia="仿宋_GB2312" w:hAnsi="宋体" w:hint="eastAsia"/>
          <w:sz w:val="30"/>
          <w:szCs w:val="30"/>
        </w:rPr>
        <w:t>人民</w:t>
      </w:r>
      <w:r w:rsidR="008A5D4C" w:rsidRPr="008B548F">
        <w:rPr>
          <w:rFonts w:ascii="仿宋_GB2312" w:eastAsia="仿宋_GB2312" w:hAnsi="宋体" w:hint="eastAsia"/>
          <w:sz w:val="30"/>
          <w:szCs w:val="30"/>
        </w:rPr>
        <w:t>政府、</w:t>
      </w:r>
      <w:r w:rsidR="00AB0FD2" w:rsidRPr="008B548F">
        <w:rPr>
          <w:rFonts w:ascii="仿宋_GB2312" w:eastAsia="仿宋_GB2312" w:hAnsi="仿宋" w:cs="宋体" w:hint="eastAsia"/>
          <w:color w:val="000000"/>
          <w:sz w:val="30"/>
          <w:szCs w:val="30"/>
        </w:rPr>
        <w:t>吉林化学工业循环经济示范园区管理委员会</w:t>
      </w:r>
      <w:r w:rsidR="008A5D4C" w:rsidRPr="008B548F">
        <w:rPr>
          <w:rFonts w:ascii="仿宋_GB2312" w:eastAsia="仿宋_GB2312" w:hAnsi="宋体" w:hint="eastAsia"/>
          <w:sz w:val="30"/>
          <w:szCs w:val="30"/>
        </w:rPr>
        <w:t>、</w:t>
      </w:r>
      <w:r w:rsidR="00622AD0" w:rsidRPr="008B548F">
        <w:rPr>
          <w:rFonts w:ascii="仿宋_GB2312" w:eastAsia="仿宋_GB2312" w:hAnsi="宋体" w:hint="eastAsia"/>
          <w:sz w:val="30"/>
          <w:szCs w:val="30"/>
        </w:rPr>
        <w:t>吉林市规划和自然资源局</w:t>
      </w:r>
      <w:r w:rsidR="005C1169" w:rsidRPr="008B548F">
        <w:rPr>
          <w:rFonts w:ascii="仿宋_GB2312" w:eastAsia="仿宋_GB2312" w:hAnsi="宋体" w:hint="eastAsia"/>
          <w:sz w:val="30"/>
          <w:szCs w:val="30"/>
        </w:rPr>
        <w:t>龙潭分局</w:t>
      </w:r>
      <w:r w:rsidR="00603CEB" w:rsidRPr="008B548F">
        <w:rPr>
          <w:rFonts w:ascii="仿宋_GB2312" w:eastAsia="仿宋_GB2312" w:hAnsi="宋体" w:hint="eastAsia"/>
          <w:sz w:val="30"/>
          <w:szCs w:val="30"/>
        </w:rPr>
        <w:t>、</w:t>
      </w:r>
      <w:r w:rsidR="00AB4132" w:rsidRPr="008B548F">
        <w:rPr>
          <w:rFonts w:ascii="仿宋_GB2312" w:eastAsia="仿宋_GB2312" w:hAnsi="宋体" w:hint="eastAsia"/>
          <w:sz w:val="30"/>
          <w:szCs w:val="30"/>
        </w:rPr>
        <w:t>吉林市</w:t>
      </w:r>
      <w:r w:rsidR="00622AD0" w:rsidRPr="008B548F">
        <w:rPr>
          <w:rFonts w:ascii="仿宋_GB2312" w:eastAsia="仿宋_GB2312" w:hAnsi="宋体" w:hint="eastAsia"/>
          <w:sz w:val="30"/>
          <w:szCs w:val="30"/>
        </w:rPr>
        <w:t>龙潭区林业</w:t>
      </w:r>
      <w:r w:rsidR="005C1169" w:rsidRPr="008B548F">
        <w:rPr>
          <w:rFonts w:ascii="仿宋_GB2312" w:eastAsia="仿宋_GB2312" w:hAnsi="宋体" w:hint="eastAsia"/>
          <w:sz w:val="30"/>
          <w:szCs w:val="30"/>
        </w:rPr>
        <w:t>和</w:t>
      </w:r>
      <w:r w:rsidR="00622AD0" w:rsidRPr="008B548F">
        <w:rPr>
          <w:rFonts w:ascii="仿宋_GB2312" w:eastAsia="仿宋_GB2312" w:hAnsi="宋体" w:hint="eastAsia"/>
          <w:sz w:val="30"/>
          <w:szCs w:val="30"/>
        </w:rPr>
        <w:t>畜牧业管理局（见表二）。</w:t>
      </w:r>
    </w:p>
    <w:p w:rsidR="00066814" w:rsidRPr="008B548F" w:rsidRDefault="00066814" w:rsidP="005C1169">
      <w:pPr>
        <w:snapToGrid w:val="0"/>
        <w:spacing w:line="480" w:lineRule="atLeast"/>
        <w:ind w:firstLine="660"/>
        <w:jc w:val="left"/>
        <w:rPr>
          <w:rFonts w:ascii="仿宋_GB2312" w:eastAsia="仿宋_GB2312" w:hAnsi="宋体"/>
          <w:sz w:val="30"/>
          <w:szCs w:val="30"/>
        </w:rPr>
      </w:pPr>
    </w:p>
    <w:p w:rsidR="00622AD0" w:rsidRPr="008B548F" w:rsidRDefault="00E36361" w:rsidP="00066814">
      <w:pPr>
        <w:snapToGrid w:val="0"/>
        <w:spacing w:line="480" w:lineRule="atLeast"/>
        <w:jc w:val="left"/>
        <w:rPr>
          <w:rFonts w:ascii="仿宋_GB2312" w:eastAsia="仿宋_GB2312" w:hAnsi="宋体"/>
          <w:sz w:val="30"/>
          <w:szCs w:val="30"/>
        </w:rPr>
      </w:pPr>
      <w:r w:rsidRPr="008B548F">
        <w:rPr>
          <w:rFonts w:ascii="仿宋_GB2312" w:eastAsia="仿宋_GB2312" w:hAnsi="宋体" w:hint="eastAsia"/>
          <w:noProof/>
          <w:sz w:val="30"/>
          <w:szCs w:val="30"/>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2AD0" w:rsidRPr="008B548F" w:rsidRDefault="00622AD0" w:rsidP="00622AD0">
      <w:pPr>
        <w:rPr>
          <w:rFonts w:ascii="仿宋_GB2312" w:eastAsia="仿宋_GB2312"/>
          <w:sz w:val="30"/>
          <w:szCs w:val="30"/>
        </w:rPr>
      </w:pPr>
    </w:p>
    <w:p w:rsidR="00622AD0" w:rsidRPr="008B548F" w:rsidRDefault="00F7607D" w:rsidP="00022BD8">
      <w:pPr>
        <w:snapToGrid w:val="0"/>
        <w:spacing w:line="480" w:lineRule="atLeast"/>
        <w:ind w:firstLine="660"/>
        <w:rPr>
          <w:rFonts w:ascii="仿宋_GB2312" w:eastAsia="仿宋_GB2312" w:hAnsi="宋体"/>
          <w:sz w:val="30"/>
          <w:szCs w:val="30"/>
        </w:rPr>
      </w:pPr>
      <w:r w:rsidRPr="008B548F">
        <w:rPr>
          <w:rFonts w:ascii="仿宋_GB2312" w:eastAsia="仿宋_GB2312" w:hAnsi="宋体" w:hint="eastAsia"/>
          <w:sz w:val="30"/>
          <w:szCs w:val="30"/>
        </w:rPr>
        <w:t>202</w:t>
      </w:r>
      <w:r w:rsidR="00AB0FD2" w:rsidRPr="008B548F">
        <w:rPr>
          <w:rFonts w:ascii="仿宋_GB2312" w:eastAsia="仿宋_GB2312" w:hAnsi="宋体" w:hint="eastAsia"/>
          <w:sz w:val="30"/>
          <w:szCs w:val="30"/>
        </w:rPr>
        <w:t>2</w:t>
      </w:r>
      <w:r w:rsidR="00622AD0" w:rsidRPr="008B548F">
        <w:rPr>
          <w:rFonts w:ascii="仿宋_GB2312" w:eastAsia="仿宋_GB2312" w:hAnsi="宋体" w:hint="eastAsia"/>
          <w:sz w:val="30"/>
          <w:szCs w:val="30"/>
        </w:rPr>
        <w:t>年（1月至</w:t>
      </w:r>
      <w:r w:rsidR="00AB0FD2" w:rsidRPr="008B548F">
        <w:rPr>
          <w:rFonts w:ascii="仿宋_GB2312" w:eastAsia="仿宋_GB2312" w:hAnsi="宋体" w:hint="eastAsia"/>
          <w:sz w:val="30"/>
          <w:szCs w:val="30"/>
        </w:rPr>
        <w:t>12</w:t>
      </w:r>
      <w:r w:rsidR="00622AD0" w:rsidRPr="008B548F">
        <w:rPr>
          <w:rFonts w:ascii="仿宋_GB2312" w:eastAsia="仿宋_GB2312" w:hAnsi="宋体" w:hint="eastAsia"/>
          <w:sz w:val="30"/>
          <w:szCs w:val="30"/>
        </w:rPr>
        <w:t>月），</w:t>
      </w:r>
      <w:r w:rsidR="0047236B" w:rsidRPr="008B548F">
        <w:rPr>
          <w:rFonts w:ascii="仿宋_GB2312" w:eastAsia="仿宋_GB2312" w:hAnsi="宋体" w:hint="eastAsia"/>
          <w:sz w:val="30"/>
          <w:szCs w:val="30"/>
        </w:rPr>
        <w:t>龙潭法院</w:t>
      </w:r>
      <w:r w:rsidR="00622AD0" w:rsidRPr="008B548F">
        <w:rPr>
          <w:rFonts w:ascii="仿宋_GB2312" w:eastAsia="仿宋_GB2312" w:hAnsi="宋体" w:hint="eastAsia"/>
          <w:sz w:val="30"/>
          <w:szCs w:val="30"/>
        </w:rPr>
        <w:t>受理的行政非诉审查执行案件中，土地</w:t>
      </w:r>
      <w:r w:rsidR="00603CEB" w:rsidRPr="008B548F">
        <w:rPr>
          <w:rFonts w:ascii="仿宋_GB2312" w:eastAsia="仿宋_GB2312" w:hAnsi="宋体" w:hint="eastAsia"/>
          <w:sz w:val="30"/>
          <w:szCs w:val="30"/>
        </w:rPr>
        <w:t>领域</w:t>
      </w:r>
      <w:r w:rsidR="00622AD0" w:rsidRPr="008B548F">
        <w:rPr>
          <w:rFonts w:ascii="仿宋_GB2312" w:eastAsia="仿宋_GB2312" w:hAnsi="宋体" w:hint="eastAsia"/>
          <w:sz w:val="30"/>
          <w:szCs w:val="30"/>
        </w:rPr>
        <w:t>行政处罚（</w:t>
      </w:r>
      <w:r w:rsidR="00AB0FD2" w:rsidRPr="008B548F">
        <w:rPr>
          <w:rFonts w:ascii="仿宋_GB2312" w:eastAsia="仿宋_GB2312" w:hAnsi="宋体" w:hint="eastAsia"/>
          <w:sz w:val="30"/>
          <w:szCs w:val="30"/>
        </w:rPr>
        <w:t>5</w:t>
      </w:r>
      <w:r w:rsidR="00622AD0" w:rsidRPr="008B548F">
        <w:rPr>
          <w:rFonts w:ascii="仿宋_GB2312" w:eastAsia="仿宋_GB2312" w:hAnsi="宋体" w:hint="eastAsia"/>
          <w:sz w:val="30"/>
          <w:szCs w:val="30"/>
        </w:rPr>
        <w:t>件），同比</w:t>
      </w:r>
      <w:r w:rsidR="00362115" w:rsidRPr="008B548F">
        <w:rPr>
          <w:rFonts w:ascii="仿宋_GB2312" w:eastAsia="仿宋_GB2312" w:hAnsi="宋体" w:hint="eastAsia"/>
          <w:sz w:val="30"/>
          <w:szCs w:val="30"/>
        </w:rPr>
        <w:t>下降</w:t>
      </w:r>
      <w:r w:rsidR="00622AD0" w:rsidRPr="008B548F">
        <w:rPr>
          <w:rFonts w:ascii="仿宋_GB2312" w:eastAsia="仿宋_GB2312" w:hAnsi="宋体" w:hint="eastAsia"/>
          <w:sz w:val="30"/>
          <w:szCs w:val="30"/>
        </w:rPr>
        <w:t>了</w:t>
      </w:r>
      <w:r w:rsidR="00AB0FD2" w:rsidRPr="008B548F">
        <w:rPr>
          <w:rFonts w:ascii="仿宋_GB2312" w:eastAsia="仿宋_GB2312" w:hAnsi="宋体" w:hint="eastAsia"/>
          <w:sz w:val="30"/>
          <w:szCs w:val="30"/>
        </w:rPr>
        <w:t>44.44</w:t>
      </w:r>
      <w:r w:rsidR="00622AD0" w:rsidRPr="008B548F">
        <w:rPr>
          <w:rFonts w:ascii="仿宋_GB2312" w:eastAsia="仿宋_GB2312" w:hAnsi="宋体" w:hint="eastAsia"/>
          <w:sz w:val="30"/>
          <w:szCs w:val="30"/>
        </w:rPr>
        <w:t>%；林业</w:t>
      </w:r>
      <w:r w:rsidR="00603CEB" w:rsidRPr="008B548F">
        <w:rPr>
          <w:rFonts w:ascii="仿宋_GB2312" w:eastAsia="仿宋_GB2312" w:hAnsi="宋体" w:hint="eastAsia"/>
          <w:sz w:val="30"/>
          <w:szCs w:val="30"/>
        </w:rPr>
        <w:t>领域</w:t>
      </w:r>
      <w:r w:rsidR="00622AD0" w:rsidRPr="008B548F">
        <w:rPr>
          <w:rFonts w:ascii="仿宋_GB2312" w:eastAsia="仿宋_GB2312" w:hAnsi="宋体" w:hint="eastAsia"/>
          <w:sz w:val="30"/>
          <w:szCs w:val="30"/>
        </w:rPr>
        <w:t>行政处罚（</w:t>
      </w:r>
      <w:r w:rsidR="00AB0FD2" w:rsidRPr="008B548F">
        <w:rPr>
          <w:rFonts w:ascii="仿宋_GB2312" w:eastAsia="仿宋_GB2312" w:hAnsi="宋体" w:hint="eastAsia"/>
          <w:sz w:val="30"/>
          <w:szCs w:val="30"/>
        </w:rPr>
        <w:t>8</w:t>
      </w:r>
      <w:r w:rsidR="00622AD0" w:rsidRPr="008B548F">
        <w:rPr>
          <w:rFonts w:ascii="仿宋_GB2312" w:eastAsia="仿宋_GB2312" w:hAnsi="宋体" w:hint="eastAsia"/>
          <w:sz w:val="30"/>
          <w:szCs w:val="30"/>
        </w:rPr>
        <w:t>件），同比</w:t>
      </w:r>
      <w:r w:rsidR="00AB0FD2" w:rsidRPr="008B548F">
        <w:rPr>
          <w:rFonts w:ascii="仿宋_GB2312" w:eastAsia="仿宋_GB2312" w:hAnsi="宋体" w:hint="eastAsia"/>
          <w:sz w:val="30"/>
          <w:szCs w:val="30"/>
        </w:rPr>
        <w:t>下降</w:t>
      </w:r>
      <w:r w:rsidR="00362115" w:rsidRPr="008B548F">
        <w:rPr>
          <w:rFonts w:ascii="仿宋_GB2312" w:eastAsia="仿宋_GB2312" w:hAnsi="宋体" w:hint="eastAsia"/>
          <w:sz w:val="30"/>
          <w:szCs w:val="30"/>
        </w:rPr>
        <w:t>了</w:t>
      </w:r>
      <w:r w:rsidR="00AB0FD2" w:rsidRPr="008B548F">
        <w:rPr>
          <w:rFonts w:ascii="仿宋_GB2312" w:eastAsia="仿宋_GB2312" w:hAnsi="宋体" w:hint="eastAsia"/>
          <w:sz w:val="30"/>
          <w:szCs w:val="30"/>
        </w:rPr>
        <w:t>52.94</w:t>
      </w:r>
      <w:r w:rsidR="00622AD0" w:rsidRPr="008B548F">
        <w:rPr>
          <w:rFonts w:ascii="仿宋_GB2312" w:eastAsia="仿宋_GB2312" w:hAnsi="宋体" w:hint="eastAsia"/>
          <w:sz w:val="30"/>
          <w:szCs w:val="30"/>
        </w:rPr>
        <w:t>%</w:t>
      </w:r>
      <w:r w:rsidR="00603CEB" w:rsidRPr="008B548F">
        <w:rPr>
          <w:rFonts w:ascii="仿宋_GB2312" w:eastAsia="仿宋_GB2312" w:hAnsi="宋体" w:hint="eastAsia"/>
          <w:sz w:val="30"/>
          <w:szCs w:val="30"/>
        </w:rPr>
        <w:t>；</w:t>
      </w:r>
      <w:r w:rsidR="00AB0FD2" w:rsidRPr="008B548F">
        <w:rPr>
          <w:rFonts w:ascii="仿宋_GB2312" w:eastAsia="仿宋_GB2312" w:hAnsi="宋体" w:hint="eastAsia"/>
          <w:sz w:val="30"/>
          <w:szCs w:val="30"/>
        </w:rPr>
        <w:t>另新增了</w:t>
      </w:r>
      <w:r w:rsidR="00E65573">
        <w:rPr>
          <w:rFonts w:ascii="仿宋_GB2312" w:eastAsia="仿宋_GB2312" w:hAnsi="宋体" w:hint="eastAsia"/>
          <w:sz w:val="30"/>
          <w:szCs w:val="30"/>
        </w:rPr>
        <w:t>征收拆迁</w:t>
      </w:r>
      <w:r w:rsidR="00AB0FD2" w:rsidRPr="008B548F">
        <w:rPr>
          <w:rFonts w:ascii="仿宋_GB2312" w:eastAsia="仿宋_GB2312" w:hAnsi="宋体" w:hint="eastAsia"/>
          <w:sz w:val="30"/>
          <w:szCs w:val="30"/>
        </w:rPr>
        <w:t>补偿及安全生产行政处罚类案件共5件，有利的保障区</w:t>
      </w:r>
      <w:r w:rsidR="007E0AF0" w:rsidRPr="008B548F">
        <w:rPr>
          <w:rFonts w:ascii="仿宋_GB2312" w:eastAsia="仿宋_GB2312" w:hAnsi="宋体" w:hint="eastAsia"/>
          <w:sz w:val="30"/>
          <w:szCs w:val="30"/>
        </w:rPr>
        <w:t>重点工程项目的顺利推进</w:t>
      </w:r>
      <w:r w:rsidR="00A96E0F" w:rsidRPr="008B548F">
        <w:rPr>
          <w:rFonts w:ascii="仿宋_GB2312" w:eastAsia="仿宋_GB2312" w:hAnsi="宋体" w:hint="eastAsia"/>
          <w:sz w:val="30"/>
          <w:szCs w:val="30"/>
        </w:rPr>
        <w:t>。</w:t>
      </w:r>
      <w:r w:rsidR="00022BD8" w:rsidRPr="008B548F">
        <w:rPr>
          <w:rFonts w:ascii="仿宋_GB2312" w:eastAsia="仿宋_GB2312" w:hAnsi="宋体" w:hint="eastAsia"/>
          <w:sz w:val="30"/>
          <w:szCs w:val="30"/>
        </w:rPr>
        <w:t>其中</w:t>
      </w:r>
      <w:r w:rsidR="0047236B" w:rsidRPr="008B548F">
        <w:rPr>
          <w:rFonts w:ascii="仿宋_GB2312" w:eastAsia="仿宋_GB2312" w:hAnsi="宋体" w:hint="eastAsia"/>
          <w:sz w:val="30"/>
          <w:szCs w:val="30"/>
        </w:rPr>
        <w:t>，</w:t>
      </w:r>
      <w:r w:rsidR="00622AD0" w:rsidRPr="008B548F">
        <w:rPr>
          <w:rFonts w:ascii="仿宋_GB2312" w:eastAsia="仿宋_GB2312" w:hAnsi="宋体" w:hint="eastAsia"/>
          <w:sz w:val="30"/>
          <w:szCs w:val="30"/>
        </w:rPr>
        <w:t>林业行政处罚案件数量占比最大，说明我区行政违法案件</w:t>
      </w:r>
      <w:r w:rsidR="00343E09" w:rsidRPr="008B548F">
        <w:rPr>
          <w:rFonts w:ascii="仿宋_GB2312" w:eastAsia="仿宋_GB2312" w:hAnsi="宋体" w:hint="eastAsia"/>
          <w:sz w:val="30"/>
          <w:szCs w:val="30"/>
        </w:rPr>
        <w:t>相对</w:t>
      </w:r>
      <w:r w:rsidR="00AB0FD2" w:rsidRPr="008B548F">
        <w:rPr>
          <w:rFonts w:ascii="仿宋_GB2312" w:eastAsia="仿宋_GB2312" w:hAnsi="宋体" w:hint="eastAsia"/>
          <w:sz w:val="30"/>
          <w:szCs w:val="30"/>
        </w:rPr>
        <w:t>较多</w:t>
      </w:r>
      <w:r w:rsidR="00343E09" w:rsidRPr="008B548F">
        <w:rPr>
          <w:rFonts w:ascii="仿宋_GB2312" w:eastAsia="仿宋_GB2312" w:hAnsi="宋体" w:hint="eastAsia"/>
          <w:sz w:val="30"/>
          <w:szCs w:val="30"/>
        </w:rPr>
        <w:t>的领域在林业方面。环保行政违法案件</w:t>
      </w:r>
      <w:r w:rsidR="00362115" w:rsidRPr="008B548F">
        <w:rPr>
          <w:rFonts w:ascii="仿宋_GB2312" w:eastAsia="仿宋_GB2312" w:hAnsi="宋体" w:hint="eastAsia"/>
          <w:sz w:val="30"/>
          <w:szCs w:val="30"/>
        </w:rPr>
        <w:t>连续</w:t>
      </w:r>
      <w:r w:rsidR="00AB0FD2" w:rsidRPr="008B548F">
        <w:rPr>
          <w:rFonts w:ascii="仿宋_GB2312" w:eastAsia="仿宋_GB2312" w:hAnsi="宋体" w:hint="eastAsia"/>
          <w:sz w:val="30"/>
          <w:szCs w:val="30"/>
        </w:rPr>
        <w:t>三</w:t>
      </w:r>
      <w:r w:rsidR="004302FA" w:rsidRPr="008B548F">
        <w:rPr>
          <w:rFonts w:ascii="仿宋_GB2312" w:eastAsia="仿宋_GB2312" w:hAnsi="宋体" w:hint="eastAsia"/>
          <w:sz w:val="30"/>
          <w:szCs w:val="30"/>
        </w:rPr>
        <w:t>年</w:t>
      </w:r>
      <w:r w:rsidR="00362115" w:rsidRPr="008B548F">
        <w:rPr>
          <w:rFonts w:ascii="仿宋_GB2312" w:eastAsia="仿宋_GB2312" w:hAnsi="宋体" w:hint="eastAsia"/>
          <w:sz w:val="30"/>
          <w:szCs w:val="30"/>
        </w:rPr>
        <w:t>为0</w:t>
      </w:r>
      <w:r w:rsidR="00622AD0" w:rsidRPr="008B548F">
        <w:rPr>
          <w:rFonts w:ascii="仿宋_GB2312" w:eastAsia="仿宋_GB2312" w:hAnsi="宋体" w:hint="eastAsia"/>
          <w:sz w:val="30"/>
          <w:szCs w:val="30"/>
        </w:rPr>
        <w:t>，</w:t>
      </w:r>
      <w:r w:rsidR="00343E09" w:rsidRPr="008B548F">
        <w:rPr>
          <w:rFonts w:ascii="仿宋_GB2312" w:eastAsia="仿宋_GB2312" w:hAnsi="宋体" w:hint="eastAsia"/>
          <w:sz w:val="30"/>
          <w:szCs w:val="30"/>
        </w:rPr>
        <w:t>充分</w:t>
      </w:r>
      <w:r w:rsidR="00622AD0" w:rsidRPr="008B548F">
        <w:rPr>
          <w:rFonts w:ascii="仿宋_GB2312" w:eastAsia="仿宋_GB2312" w:hAnsi="宋体" w:hint="eastAsia"/>
          <w:sz w:val="30"/>
          <w:szCs w:val="30"/>
        </w:rPr>
        <w:t>体现了</w:t>
      </w:r>
      <w:r w:rsidR="00022BD8" w:rsidRPr="008B548F">
        <w:rPr>
          <w:rFonts w:ascii="仿宋_GB2312" w:eastAsia="仿宋_GB2312" w:hAnsi="宋体" w:hint="eastAsia"/>
          <w:sz w:val="30"/>
          <w:szCs w:val="30"/>
        </w:rPr>
        <w:t>龙潭区委、区</w:t>
      </w:r>
      <w:r w:rsidR="00622AD0" w:rsidRPr="008B548F">
        <w:rPr>
          <w:rFonts w:ascii="仿宋_GB2312" w:eastAsia="仿宋_GB2312" w:hAnsi="宋体" w:hint="eastAsia"/>
          <w:sz w:val="30"/>
          <w:szCs w:val="30"/>
        </w:rPr>
        <w:t>政府</w:t>
      </w:r>
      <w:r w:rsidR="00022BD8" w:rsidRPr="008B548F">
        <w:rPr>
          <w:rFonts w:ascii="仿宋_GB2312" w:eastAsia="仿宋_GB2312" w:hAnsi="宋体" w:hint="eastAsia"/>
          <w:sz w:val="30"/>
          <w:szCs w:val="30"/>
        </w:rPr>
        <w:t>贯彻党中央提出的</w:t>
      </w:r>
      <w:r w:rsidR="00622AD0" w:rsidRPr="008B548F">
        <w:rPr>
          <w:rFonts w:ascii="仿宋_GB2312" w:eastAsia="仿宋_GB2312" w:hAnsi="宋体" w:hint="eastAsia"/>
          <w:sz w:val="30"/>
          <w:szCs w:val="30"/>
        </w:rPr>
        <w:t>“绿水青山就是金山银山”的宗旨落到了实处，取得了良好的效果（见表三）。</w:t>
      </w:r>
    </w:p>
    <w:p w:rsidR="00622AD0" w:rsidRPr="008B548F" w:rsidRDefault="00622AD0" w:rsidP="00343E09">
      <w:pPr>
        <w:snapToGrid w:val="0"/>
        <w:spacing w:line="480" w:lineRule="atLeast"/>
        <w:rPr>
          <w:rFonts w:ascii="仿宋_GB2312" w:eastAsia="仿宋_GB2312" w:hAnsi="宋体"/>
          <w:sz w:val="30"/>
          <w:szCs w:val="30"/>
        </w:rPr>
      </w:pPr>
      <w:r w:rsidRPr="008B548F">
        <w:rPr>
          <w:rFonts w:ascii="仿宋_GB2312" w:eastAsia="仿宋_GB2312" w:hAnsi="宋体" w:hint="eastAsia"/>
          <w:noProof/>
          <w:sz w:val="30"/>
          <w:szCs w:val="30"/>
        </w:rPr>
        <w:lastRenderedPageBreak/>
        <w:drawing>
          <wp:inline distT="0" distB="0" distL="0" distR="0">
            <wp:extent cx="5276215" cy="3078480"/>
            <wp:effectExtent l="0" t="0" r="19685" b="26670"/>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48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1562"/>
        <w:gridCol w:w="1557"/>
        <w:gridCol w:w="1847"/>
        <w:gridCol w:w="1699"/>
      </w:tblGrid>
      <w:tr w:rsidR="00622AD0" w:rsidRPr="008B548F" w:rsidTr="00406174">
        <w:tc>
          <w:tcPr>
            <w:tcW w:w="947" w:type="pct"/>
            <w:tcBorders>
              <w:top w:val="single" w:sz="4" w:space="0" w:color="auto"/>
              <w:left w:val="single" w:sz="4" w:space="0" w:color="auto"/>
              <w:bottom w:val="single" w:sz="4" w:space="0" w:color="auto"/>
              <w:right w:val="single" w:sz="4" w:space="0" w:color="auto"/>
            </w:tcBorders>
            <w:vAlign w:val="center"/>
          </w:tcPr>
          <w:p w:rsidR="00622AD0" w:rsidRPr="008B548F" w:rsidRDefault="00622AD0" w:rsidP="00406174">
            <w:pPr>
              <w:snapToGrid w:val="0"/>
              <w:spacing w:line="480" w:lineRule="atLeast"/>
              <w:jc w:val="center"/>
              <w:rPr>
                <w:rFonts w:ascii="仿宋_GB2312" w:eastAsia="仿宋_GB2312" w:hAnsi="宋体"/>
                <w:sz w:val="30"/>
                <w:szCs w:val="30"/>
              </w:rPr>
            </w:pPr>
          </w:p>
        </w:tc>
        <w:tc>
          <w:tcPr>
            <w:tcW w:w="950"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622AD0"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国土</w:t>
            </w:r>
          </w:p>
        </w:tc>
        <w:tc>
          <w:tcPr>
            <w:tcW w:w="947"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622AD0"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林业</w:t>
            </w:r>
          </w:p>
        </w:tc>
        <w:tc>
          <w:tcPr>
            <w:tcW w:w="1123"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AB0FD2"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区政府</w:t>
            </w:r>
          </w:p>
        </w:tc>
        <w:tc>
          <w:tcPr>
            <w:tcW w:w="1033"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AB0FD2"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化工园区</w:t>
            </w:r>
          </w:p>
        </w:tc>
      </w:tr>
      <w:tr w:rsidR="00622AD0" w:rsidRPr="008B548F" w:rsidTr="00406174">
        <w:tc>
          <w:tcPr>
            <w:tcW w:w="947"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622AD0" w:rsidP="00AB0FD2">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20</w:t>
            </w:r>
            <w:r w:rsidR="00934229" w:rsidRPr="008B548F">
              <w:rPr>
                <w:rFonts w:ascii="仿宋_GB2312" w:eastAsia="仿宋_GB2312" w:hAnsi="宋体" w:hint="eastAsia"/>
                <w:sz w:val="30"/>
                <w:szCs w:val="30"/>
              </w:rPr>
              <w:t>2</w:t>
            </w:r>
            <w:r w:rsidR="00AB0FD2" w:rsidRPr="008B548F">
              <w:rPr>
                <w:rFonts w:ascii="仿宋_GB2312" w:eastAsia="仿宋_GB2312" w:hAnsi="宋体" w:hint="eastAsia"/>
                <w:sz w:val="30"/>
                <w:szCs w:val="30"/>
              </w:rPr>
              <w:t>1</w:t>
            </w:r>
            <w:r w:rsidR="00406174" w:rsidRPr="008B548F">
              <w:rPr>
                <w:rFonts w:ascii="仿宋_GB2312" w:eastAsia="仿宋_GB2312" w:hAnsi="宋体" w:hint="eastAsia"/>
                <w:sz w:val="30"/>
                <w:szCs w:val="30"/>
              </w:rPr>
              <w:t>年</w:t>
            </w:r>
          </w:p>
        </w:tc>
        <w:tc>
          <w:tcPr>
            <w:tcW w:w="950"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AB0FD2"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9</w:t>
            </w:r>
          </w:p>
        </w:tc>
        <w:tc>
          <w:tcPr>
            <w:tcW w:w="947"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AB0FD2"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17</w:t>
            </w:r>
          </w:p>
        </w:tc>
        <w:tc>
          <w:tcPr>
            <w:tcW w:w="1123"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934229"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0</w:t>
            </w:r>
          </w:p>
        </w:tc>
        <w:tc>
          <w:tcPr>
            <w:tcW w:w="1033"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934229"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0</w:t>
            </w:r>
          </w:p>
        </w:tc>
      </w:tr>
      <w:tr w:rsidR="00622AD0" w:rsidRPr="008B548F" w:rsidTr="00406174">
        <w:tc>
          <w:tcPr>
            <w:tcW w:w="947"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622AD0" w:rsidP="00AB0FD2">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20</w:t>
            </w:r>
            <w:r w:rsidR="00934229" w:rsidRPr="008B548F">
              <w:rPr>
                <w:rFonts w:ascii="仿宋_GB2312" w:eastAsia="仿宋_GB2312" w:hAnsi="宋体" w:hint="eastAsia"/>
                <w:sz w:val="30"/>
                <w:szCs w:val="30"/>
              </w:rPr>
              <w:t>2</w:t>
            </w:r>
            <w:r w:rsidR="00AB0FD2" w:rsidRPr="008B548F">
              <w:rPr>
                <w:rFonts w:ascii="仿宋_GB2312" w:eastAsia="仿宋_GB2312" w:hAnsi="宋体" w:hint="eastAsia"/>
                <w:sz w:val="30"/>
                <w:szCs w:val="30"/>
              </w:rPr>
              <w:t>2</w:t>
            </w:r>
            <w:r w:rsidR="00406174" w:rsidRPr="008B548F">
              <w:rPr>
                <w:rFonts w:ascii="仿宋_GB2312" w:eastAsia="仿宋_GB2312" w:hAnsi="宋体" w:hint="eastAsia"/>
                <w:sz w:val="30"/>
                <w:szCs w:val="30"/>
              </w:rPr>
              <w:t>年</w:t>
            </w:r>
          </w:p>
        </w:tc>
        <w:tc>
          <w:tcPr>
            <w:tcW w:w="950"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AB0FD2"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5</w:t>
            </w:r>
          </w:p>
        </w:tc>
        <w:tc>
          <w:tcPr>
            <w:tcW w:w="947"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AB0FD2"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8</w:t>
            </w:r>
          </w:p>
        </w:tc>
        <w:tc>
          <w:tcPr>
            <w:tcW w:w="1123"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AB0FD2"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4</w:t>
            </w:r>
          </w:p>
        </w:tc>
        <w:tc>
          <w:tcPr>
            <w:tcW w:w="1033" w:type="pct"/>
            <w:tcBorders>
              <w:top w:val="single" w:sz="4" w:space="0" w:color="auto"/>
              <w:left w:val="single" w:sz="4" w:space="0" w:color="auto"/>
              <w:bottom w:val="single" w:sz="4" w:space="0" w:color="auto"/>
              <w:right w:val="single" w:sz="4" w:space="0" w:color="auto"/>
            </w:tcBorders>
            <w:vAlign w:val="center"/>
            <w:hideMark/>
          </w:tcPr>
          <w:p w:rsidR="00622AD0" w:rsidRPr="008B548F" w:rsidRDefault="00AB0FD2" w:rsidP="00406174">
            <w:pPr>
              <w:snapToGrid w:val="0"/>
              <w:spacing w:line="480" w:lineRule="atLeast"/>
              <w:jc w:val="center"/>
              <w:rPr>
                <w:rFonts w:ascii="仿宋_GB2312" w:eastAsia="仿宋_GB2312" w:hAnsi="宋体"/>
                <w:sz w:val="30"/>
                <w:szCs w:val="30"/>
              </w:rPr>
            </w:pPr>
            <w:r w:rsidRPr="008B548F">
              <w:rPr>
                <w:rFonts w:ascii="仿宋_GB2312" w:eastAsia="仿宋_GB2312" w:hAnsi="宋体" w:hint="eastAsia"/>
                <w:sz w:val="30"/>
                <w:szCs w:val="30"/>
              </w:rPr>
              <w:t>1</w:t>
            </w:r>
          </w:p>
        </w:tc>
      </w:tr>
    </w:tbl>
    <w:p w:rsidR="004C06CF" w:rsidRPr="008B548F" w:rsidRDefault="004C06CF" w:rsidP="00622AD0">
      <w:pPr>
        <w:snapToGrid w:val="0"/>
        <w:spacing w:line="480" w:lineRule="atLeast"/>
        <w:ind w:firstLine="660"/>
        <w:rPr>
          <w:rFonts w:ascii="仿宋_GB2312" w:eastAsia="仿宋_GB2312" w:hAnsi="宋体"/>
          <w:sz w:val="30"/>
          <w:szCs w:val="30"/>
        </w:rPr>
      </w:pPr>
    </w:p>
    <w:p w:rsidR="00622AD0" w:rsidRPr="008B548F" w:rsidRDefault="008C37B4" w:rsidP="00622AD0">
      <w:pPr>
        <w:snapToGrid w:val="0"/>
        <w:spacing w:line="480" w:lineRule="atLeast"/>
        <w:ind w:firstLine="660"/>
        <w:rPr>
          <w:rFonts w:ascii="仿宋_GB2312" w:eastAsia="仿宋_GB2312" w:hAnsi="宋体"/>
          <w:b/>
          <w:sz w:val="30"/>
          <w:szCs w:val="30"/>
        </w:rPr>
      </w:pPr>
      <w:r w:rsidRPr="008B548F">
        <w:rPr>
          <w:rFonts w:ascii="仿宋_GB2312" w:eastAsia="仿宋_GB2312" w:hAnsi="宋体" w:hint="eastAsia"/>
          <w:b/>
          <w:sz w:val="30"/>
          <w:szCs w:val="30"/>
        </w:rPr>
        <w:t>（二）</w:t>
      </w:r>
      <w:r w:rsidR="00622AD0" w:rsidRPr="008B548F">
        <w:rPr>
          <w:rFonts w:ascii="仿宋_GB2312" w:eastAsia="仿宋_GB2312" w:hAnsi="宋体" w:hint="eastAsia"/>
          <w:sz w:val="30"/>
          <w:szCs w:val="30"/>
        </w:rPr>
        <w:t>20</w:t>
      </w:r>
      <w:r w:rsidR="00AB0FD2" w:rsidRPr="008B548F">
        <w:rPr>
          <w:rFonts w:ascii="仿宋_GB2312" w:eastAsia="仿宋_GB2312" w:hAnsi="宋体" w:hint="eastAsia"/>
          <w:sz w:val="30"/>
          <w:szCs w:val="30"/>
        </w:rPr>
        <w:t>22</w:t>
      </w:r>
      <w:r w:rsidR="004C06CF" w:rsidRPr="008B548F">
        <w:rPr>
          <w:rFonts w:ascii="仿宋_GB2312" w:eastAsia="仿宋_GB2312" w:hAnsi="宋体" w:hint="eastAsia"/>
          <w:sz w:val="30"/>
          <w:szCs w:val="30"/>
        </w:rPr>
        <w:t>年，行政诉讼案件</w:t>
      </w:r>
      <w:r w:rsidRPr="008B548F">
        <w:rPr>
          <w:rFonts w:ascii="仿宋_GB2312" w:eastAsia="仿宋_GB2312" w:hAnsi="宋体" w:hint="eastAsia"/>
          <w:sz w:val="30"/>
          <w:szCs w:val="30"/>
        </w:rPr>
        <w:t>（</w:t>
      </w:r>
      <w:r w:rsidR="00AB0FD2" w:rsidRPr="008B548F">
        <w:rPr>
          <w:rFonts w:ascii="仿宋_GB2312" w:eastAsia="仿宋_GB2312" w:hAnsi="宋体" w:hint="eastAsia"/>
          <w:sz w:val="30"/>
          <w:szCs w:val="30"/>
        </w:rPr>
        <w:t>12</w:t>
      </w:r>
      <w:r w:rsidRPr="008B548F">
        <w:rPr>
          <w:rFonts w:ascii="仿宋_GB2312" w:eastAsia="仿宋_GB2312" w:hAnsi="宋体" w:hint="eastAsia"/>
          <w:sz w:val="30"/>
          <w:szCs w:val="30"/>
        </w:rPr>
        <w:t>件）</w:t>
      </w:r>
      <w:r w:rsidR="004C06CF" w:rsidRPr="008B548F">
        <w:rPr>
          <w:rFonts w:ascii="仿宋_GB2312" w:eastAsia="仿宋_GB2312" w:hAnsi="宋体" w:hint="eastAsia"/>
          <w:sz w:val="30"/>
          <w:szCs w:val="30"/>
        </w:rPr>
        <w:t>中</w:t>
      </w:r>
      <w:r w:rsidR="00C440B2" w:rsidRPr="008B548F">
        <w:rPr>
          <w:rFonts w:ascii="仿宋_GB2312" w:eastAsia="仿宋_GB2312" w:hAnsi="宋体" w:hint="eastAsia"/>
          <w:sz w:val="30"/>
          <w:szCs w:val="30"/>
        </w:rPr>
        <w:t>，</w:t>
      </w:r>
      <w:r w:rsidR="00AB0FD2" w:rsidRPr="008B548F">
        <w:rPr>
          <w:rFonts w:ascii="仿宋_GB2312" w:eastAsia="仿宋_GB2312" w:hAnsi="宋体" w:hint="eastAsia"/>
          <w:sz w:val="30"/>
          <w:szCs w:val="30"/>
        </w:rPr>
        <w:t>判决3件、</w:t>
      </w:r>
      <w:r w:rsidR="00C440B2" w:rsidRPr="008B548F">
        <w:rPr>
          <w:rFonts w:ascii="仿宋_GB2312" w:eastAsia="仿宋_GB2312" w:hAnsi="宋体" w:hint="eastAsia"/>
          <w:sz w:val="30"/>
          <w:szCs w:val="30"/>
        </w:rPr>
        <w:t>裁定驳回起诉5件、撤诉</w:t>
      </w:r>
      <w:r w:rsidR="00AB0FD2" w:rsidRPr="008B548F">
        <w:rPr>
          <w:rFonts w:ascii="仿宋_GB2312" w:eastAsia="仿宋_GB2312" w:hAnsi="宋体" w:hint="eastAsia"/>
          <w:sz w:val="30"/>
          <w:szCs w:val="30"/>
        </w:rPr>
        <w:t>1</w:t>
      </w:r>
      <w:r w:rsidR="00C440B2" w:rsidRPr="008B548F">
        <w:rPr>
          <w:rFonts w:ascii="仿宋_GB2312" w:eastAsia="仿宋_GB2312" w:hAnsi="宋体" w:hint="eastAsia"/>
          <w:sz w:val="30"/>
          <w:szCs w:val="30"/>
        </w:rPr>
        <w:t>件、调解1件</w:t>
      </w:r>
      <w:r w:rsidR="000966B7" w:rsidRPr="008B548F">
        <w:rPr>
          <w:rFonts w:ascii="仿宋_GB2312" w:eastAsia="仿宋_GB2312" w:hAnsi="宋体" w:hint="eastAsia"/>
          <w:sz w:val="30"/>
          <w:szCs w:val="30"/>
        </w:rPr>
        <w:t>，移送管辖</w:t>
      </w:r>
      <w:r w:rsidR="00AB0FD2" w:rsidRPr="008B548F">
        <w:rPr>
          <w:rFonts w:ascii="仿宋_GB2312" w:eastAsia="仿宋_GB2312" w:hAnsi="宋体" w:hint="eastAsia"/>
          <w:sz w:val="30"/>
          <w:szCs w:val="30"/>
        </w:rPr>
        <w:t>2</w:t>
      </w:r>
      <w:r w:rsidR="000966B7" w:rsidRPr="008B548F">
        <w:rPr>
          <w:rFonts w:ascii="仿宋_GB2312" w:eastAsia="仿宋_GB2312" w:hAnsi="宋体" w:hint="eastAsia"/>
          <w:sz w:val="30"/>
          <w:szCs w:val="30"/>
        </w:rPr>
        <w:t>件</w:t>
      </w:r>
      <w:r w:rsidR="00C440B2" w:rsidRPr="008B548F">
        <w:rPr>
          <w:rFonts w:ascii="仿宋_GB2312" w:eastAsia="仿宋_GB2312" w:hAnsi="宋体" w:hint="eastAsia"/>
          <w:sz w:val="30"/>
          <w:szCs w:val="30"/>
        </w:rPr>
        <w:t>。其中，</w:t>
      </w:r>
      <w:r w:rsidR="00AB0FD2" w:rsidRPr="008B548F">
        <w:rPr>
          <w:rFonts w:ascii="仿宋_GB2312" w:eastAsia="仿宋_GB2312" w:hAnsi="宋体" w:hint="eastAsia"/>
          <w:sz w:val="30"/>
          <w:szCs w:val="30"/>
        </w:rPr>
        <w:t>判决的3件案件行政机关均胜诉</w:t>
      </w:r>
      <w:r w:rsidR="00C440B2" w:rsidRPr="008B548F">
        <w:rPr>
          <w:rFonts w:ascii="仿宋_GB2312" w:eastAsia="仿宋_GB2312" w:hAnsi="宋体" w:hint="eastAsia"/>
          <w:sz w:val="30"/>
          <w:szCs w:val="30"/>
        </w:rPr>
        <w:t>，</w:t>
      </w:r>
      <w:r w:rsidR="00622AD0" w:rsidRPr="008B548F">
        <w:rPr>
          <w:rFonts w:ascii="仿宋_GB2312" w:eastAsia="仿宋_GB2312" w:hAnsi="宋体" w:hint="eastAsia"/>
          <w:sz w:val="30"/>
          <w:szCs w:val="30"/>
        </w:rPr>
        <w:t>败诉率为</w:t>
      </w:r>
      <w:r w:rsidR="00AB0FD2" w:rsidRPr="008B548F">
        <w:rPr>
          <w:rFonts w:ascii="仿宋_GB2312" w:eastAsia="仿宋_GB2312" w:hAnsi="宋体" w:hint="eastAsia"/>
          <w:sz w:val="30"/>
          <w:szCs w:val="30"/>
        </w:rPr>
        <w:t>0</w:t>
      </w:r>
      <w:r w:rsidR="00622AD0" w:rsidRPr="008B548F">
        <w:rPr>
          <w:rFonts w:ascii="仿宋_GB2312" w:eastAsia="仿宋_GB2312" w:hAnsi="宋体" w:hint="eastAsia"/>
          <w:sz w:val="30"/>
          <w:szCs w:val="30"/>
        </w:rPr>
        <w:t>%</w:t>
      </w:r>
      <w:r w:rsidR="007E0AF0" w:rsidRPr="008B548F">
        <w:rPr>
          <w:rFonts w:ascii="仿宋_GB2312" w:eastAsia="仿宋_GB2312" w:hAnsi="宋体" w:hint="eastAsia"/>
          <w:sz w:val="30"/>
          <w:szCs w:val="30"/>
        </w:rPr>
        <w:t>。</w:t>
      </w:r>
      <w:r w:rsidR="00622AD0" w:rsidRPr="008B548F">
        <w:rPr>
          <w:rFonts w:ascii="仿宋_GB2312" w:eastAsia="仿宋_GB2312" w:hAnsi="宋体" w:hint="eastAsia"/>
          <w:sz w:val="30"/>
          <w:szCs w:val="30"/>
        </w:rPr>
        <w:t>非诉审查案件</w:t>
      </w:r>
      <w:r w:rsidRPr="008B548F">
        <w:rPr>
          <w:rFonts w:ascii="仿宋_GB2312" w:eastAsia="仿宋_GB2312" w:hAnsi="宋体" w:hint="eastAsia"/>
          <w:sz w:val="30"/>
          <w:szCs w:val="30"/>
        </w:rPr>
        <w:t>（</w:t>
      </w:r>
      <w:r w:rsidR="007E0AF0" w:rsidRPr="008B548F">
        <w:rPr>
          <w:rFonts w:ascii="仿宋_GB2312" w:eastAsia="仿宋_GB2312" w:hAnsi="宋体" w:hint="eastAsia"/>
          <w:sz w:val="30"/>
          <w:szCs w:val="30"/>
        </w:rPr>
        <w:t>18</w:t>
      </w:r>
      <w:r w:rsidRPr="008B548F">
        <w:rPr>
          <w:rFonts w:ascii="仿宋_GB2312" w:eastAsia="仿宋_GB2312" w:hAnsi="宋体" w:hint="eastAsia"/>
          <w:sz w:val="30"/>
          <w:szCs w:val="30"/>
        </w:rPr>
        <w:t>件）</w:t>
      </w:r>
      <w:r w:rsidR="00622AD0" w:rsidRPr="008B548F">
        <w:rPr>
          <w:rFonts w:ascii="仿宋_GB2312" w:eastAsia="仿宋_GB2312" w:hAnsi="宋体" w:hint="eastAsia"/>
          <w:sz w:val="30"/>
          <w:szCs w:val="30"/>
        </w:rPr>
        <w:t>中，</w:t>
      </w:r>
      <w:r w:rsidR="007E0AF0" w:rsidRPr="008B548F">
        <w:rPr>
          <w:rFonts w:ascii="仿宋_GB2312" w:eastAsia="仿宋_GB2312" w:hAnsi="宋体" w:hint="eastAsia"/>
          <w:sz w:val="30"/>
          <w:szCs w:val="30"/>
        </w:rPr>
        <w:t>准予执行15件、</w:t>
      </w:r>
      <w:r w:rsidR="00A96E0F" w:rsidRPr="008B548F">
        <w:rPr>
          <w:rFonts w:ascii="仿宋_GB2312" w:eastAsia="仿宋_GB2312" w:hAnsi="宋体" w:hint="eastAsia"/>
          <w:sz w:val="30"/>
          <w:szCs w:val="30"/>
        </w:rPr>
        <w:t>撤回申请</w:t>
      </w:r>
      <w:r w:rsidR="007E0AF0" w:rsidRPr="008B548F">
        <w:rPr>
          <w:rFonts w:ascii="仿宋_GB2312" w:eastAsia="仿宋_GB2312" w:hAnsi="宋体" w:hint="eastAsia"/>
          <w:sz w:val="30"/>
          <w:szCs w:val="30"/>
        </w:rPr>
        <w:t>3</w:t>
      </w:r>
      <w:r w:rsidR="00A96E0F" w:rsidRPr="008B548F">
        <w:rPr>
          <w:rFonts w:ascii="仿宋_GB2312" w:eastAsia="仿宋_GB2312" w:hAnsi="宋体" w:hint="eastAsia"/>
          <w:sz w:val="30"/>
          <w:szCs w:val="30"/>
        </w:rPr>
        <w:t>件</w:t>
      </w:r>
      <w:r w:rsidR="007E0AF0" w:rsidRPr="008B548F">
        <w:rPr>
          <w:rFonts w:ascii="仿宋_GB2312" w:eastAsia="仿宋_GB2312" w:hAnsi="宋体" w:hint="eastAsia"/>
          <w:sz w:val="30"/>
          <w:szCs w:val="30"/>
        </w:rPr>
        <w:t>，未有不准予执行的情况</w:t>
      </w:r>
      <w:r w:rsidR="00622AD0" w:rsidRPr="008B548F">
        <w:rPr>
          <w:rFonts w:ascii="仿宋_GB2312" w:eastAsia="仿宋_GB2312" w:hAnsi="宋体" w:hint="eastAsia"/>
          <w:sz w:val="30"/>
          <w:szCs w:val="30"/>
        </w:rPr>
        <w:t>。</w:t>
      </w:r>
      <w:r w:rsidR="007E0AF0" w:rsidRPr="008B548F">
        <w:rPr>
          <w:rFonts w:ascii="仿宋_GB2312" w:eastAsia="仿宋_GB2312" w:hAnsi="宋体" w:hint="eastAsia"/>
          <w:sz w:val="30"/>
          <w:szCs w:val="30"/>
        </w:rPr>
        <w:t>今年行政机关未有败诉案件及不准予执行的非诉案件，说明行政机关依法行政的水平有所提高。今年，行政诉讼案件</w:t>
      </w:r>
      <w:r w:rsidR="00622AD0" w:rsidRPr="008B548F">
        <w:rPr>
          <w:rFonts w:ascii="仿宋_GB2312" w:eastAsia="仿宋_GB2312" w:hAnsi="宋体" w:hint="eastAsia"/>
          <w:sz w:val="30"/>
          <w:szCs w:val="30"/>
        </w:rPr>
        <w:t>行政首长出庭案件</w:t>
      </w:r>
      <w:r w:rsidR="00C440B2" w:rsidRPr="008B548F">
        <w:rPr>
          <w:rFonts w:ascii="仿宋_GB2312" w:eastAsia="仿宋_GB2312" w:hAnsi="宋体" w:hint="eastAsia"/>
          <w:sz w:val="30"/>
          <w:szCs w:val="30"/>
        </w:rPr>
        <w:t>2</w:t>
      </w:r>
      <w:r w:rsidR="00622AD0" w:rsidRPr="008B548F">
        <w:rPr>
          <w:rFonts w:ascii="仿宋_GB2312" w:eastAsia="仿宋_GB2312" w:hAnsi="宋体" w:hint="eastAsia"/>
          <w:sz w:val="30"/>
          <w:szCs w:val="30"/>
        </w:rPr>
        <w:t>件，出庭率</w:t>
      </w:r>
      <w:r w:rsidR="007E0AF0" w:rsidRPr="008B548F">
        <w:rPr>
          <w:rFonts w:ascii="仿宋_GB2312" w:eastAsia="仿宋_GB2312" w:hAnsi="宋体" w:hint="eastAsia"/>
          <w:sz w:val="30"/>
          <w:szCs w:val="30"/>
        </w:rPr>
        <w:t>仅为16.66</w:t>
      </w:r>
      <w:r w:rsidR="00622AD0" w:rsidRPr="008B548F">
        <w:rPr>
          <w:rFonts w:ascii="仿宋_GB2312" w:eastAsia="仿宋_GB2312" w:hAnsi="宋体" w:hint="eastAsia"/>
          <w:sz w:val="30"/>
          <w:szCs w:val="30"/>
        </w:rPr>
        <w:t>%</w:t>
      </w:r>
      <w:r w:rsidR="0047236B" w:rsidRPr="008B548F">
        <w:rPr>
          <w:rFonts w:ascii="仿宋_GB2312" w:eastAsia="仿宋_GB2312" w:hAnsi="宋体" w:hint="eastAsia"/>
          <w:sz w:val="30"/>
          <w:szCs w:val="30"/>
        </w:rPr>
        <w:t>。</w:t>
      </w:r>
      <w:r w:rsidR="00D300E8" w:rsidRPr="008B548F">
        <w:rPr>
          <w:rFonts w:ascii="仿宋_GB2312" w:eastAsia="仿宋_GB2312" w:hAnsi="宋体" w:hint="eastAsia"/>
          <w:sz w:val="30"/>
          <w:szCs w:val="30"/>
        </w:rPr>
        <w:t>涉诉行政主体</w:t>
      </w:r>
      <w:r w:rsidR="00622AD0" w:rsidRPr="008B548F">
        <w:rPr>
          <w:rFonts w:ascii="仿宋_GB2312" w:eastAsia="仿宋_GB2312" w:hAnsi="宋体" w:hint="eastAsia"/>
          <w:sz w:val="30"/>
          <w:szCs w:val="30"/>
        </w:rPr>
        <w:t>分别为</w:t>
      </w:r>
      <w:r w:rsidR="0047236B" w:rsidRPr="008B548F">
        <w:rPr>
          <w:rFonts w:ascii="仿宋_GB2312" w:eastAsia="仿宋_GB2312" w:hAnsi="宋体" w:hint="eastAsia"/>
          <w:sz w:val="30"/>
          <w:szCs w:val="30"/>
        </w:rPr>
        <w:t>：</w:t>
      </w:r>
      <w:r w:rsidR="00262A6C" w:rsidRPr="008B548F">
        <w:rPr>
          <w:rFonts w:ascii="仿宋_GB2312" w:eastAsia="仿宋_GB2312" w:hAnsi="宋体" w:hint="eastAsia"/>
          <w:sz w:val="30"/>
          <w:szCs w:val="30"/>
        </w:rPr>
        <w:t>吉林市龙潭区人民政府、</w:t>
      </w:r>
      <w:r w:rsidR="007E0AF0" w:rsidRPr="008B548F">
        <w:rPr>
          <w:rFonts w:ascii="仿宋_GB2312" w:eastAsia="仿宋_GB2312" w:hAnsi="仿宋" w:cs="宋体" w:hint="eastAsia"/>
          <w:color w:val="000000"/>
          <w:sz w:val="30"/>
          <w:szCs w:val="30"/>
        </w:rPr>
        <w:t>房屋征收经办中心、</w:t>
      </w:r>
      <w:r w:rsidR="007E0AF0" w:rsidRPr="008B548F">
        <w:rPr>
          <w:rFonts w:ascii="仿宋_GB2312" w:eastAsia="仿宋_GB2312" w:hAnsi="仿宋" w:hint="eastAsia"/>
          <w:sz w:val="30"/>
          <w:szCs w:val="30"/>
        </w:rPr>
        <w:t>龙潭区小城镇建设棚户区改造工作办公室、</w:t>
      </w:r>
      <w:r w:rsidR="00515123" w:rsidRPr="008B548F">
        <w:rPr>
          <w:rFonts w:ascii="仿宋_GB2312" w:eastAsia="仿宋_GB2312" w:hAnsi="宋体" w:hint="eastAsia"/>
          <w:sz w:val="30"/>
          <w:szCs w:val="30"/>
        </w:rPr>
        <w:t>龙潭区</w:t>
      </w:r>
      <w:r w:rsidR="007E0AF0" w:rsidRPr="008B548F">
        <w:rPr>
          <w:rFonts w:ascii="仿宋_GB2312" w:eastAsia="仿宋_GB2312" w:hAnsi="宋体" w:hint="eastAsia"/>
          <w:sz w:val="30"/>
          <w:szCs w:val="30"/>
        </w:rPr>
        <w:t>民政局</w:t>
      </w:r>
      <w:r w:rsidR="00515123" w:rsidRPr="008B548F">
        <w:rPr>
          <w:rFonts w:ascii="仿宋_GB2312" w:eastAsia="仿宋_GB2312" w:hAnsi="宋体" w:hint="eastAsia"/>
          <w:sz w:val="30"/>
          <w:szCs w:val="30"/>
        </w:rPr>
        <w:t>等</w:t>
      </w:r>
      <w:r w:rsidR="00D300E8" w:rsidRPr="008B548F">
        <w:rPr>
          <w:rFonts w:ascii="仿宋_GB2312" w:eastAsia="仿宋_GB2312" w:hAnsi="宋体" w:hint="eastAsia"/>
          <w:sz w:val="30"/>
          <w:szCs w:val="30"/>
        </w:rPr>
        <w:t>单位</w:t>
      </w:r>
      <w:r w:rsidR="00622AD0" w:rsidRPr="008B548F">
        <w:rPr>
          <w:rFonts w:ascii="仿宋_GB2312" w:eastAsia="仿宋_GB2312" w:hAnsi="宋体" w:hint="eastAsia"/>
          <w:sz w:val="30"/>
          <w:szCs w:val="30"/>
        </w:rPr>
        <w:t>。</w:t>
      </w:r>
    </w:p>
    <w:p w:rsidR="007A4123" w:rsidRPr="008B548F" w:rsidRDefault="007A4123" w:rsidP="00622AD0">
      <w:pPr>
        <w:snapToGrid w:val="0"/>
        <w:spacing w:line="480" w:lineRule="atLeast"/>
        <w:ind w:firstLine="660"/>
        <w:rPr>
          <w:rFonts w:ascii="仿宋_GB2312" w:eastAsia="仿宋_GB2312" w:hAnsi="宋体"/>
          <w:b/>
          <w:sz w:val="30"/>
          <w:szCs w:val="30"/>
        </w:rPr>
      </w:pPr>
      <w:r w:rsidRPr="008B548F">
        <w:rPr>
          <w:rFonts w:ascii="仿宋_GB2312" w:eastAsia="仿宋_GB2312" w:hAnsi="宋体" w:hint="eastAsia"/>
          <w:b/>
          <w:sz w:val="30"/>
          <w:szCs w:val="30"/>
        </w:rPr>
        <w:t>二、</w:t>
      </w:r>
      <w:r w:rsidR="003B5523" w:rsidRPr="008B548F">
        <w:rPr>
          <w:rFonts w:ascii="仿宋_GB2312" w:eastAsia="仿宋_GB2312" w:hAnsi="宋体" w:hint="eastAsia"/>
          <w:b/>
          <w:sz w:val="30"/>
          <w:szCs w:val="30"/>
        </w:rPr>
        <w:t>行政机关</w:t>
      </w:r>
      <w:r w:rsidR="007E0AF0" w:rsidRPr="008B548F">
        <w:rPr>
          <w:rFonts w:ascii="仿宋_GB2312" w:eastAsia="仿宋_GB2312" w:hAnsi="宋体" w:hint="eastAsia"/>
          <w:b/>
          <w:sz w:val="30"/>
          <w:szCs w:val="30"/>
        </w:rPr>
        <w:t>存在的主要问题</w:t>
      </w:r>
    </w:p>
    <w:p w:rsidR="000D1E78" w:rsidRPr="008B548F" w:rsidRDefault="003B5523" w:rsidP="00622AD0">
      <w:pPr>
        <w:snapToGrid w:val="0"/>
        <w:spacing w:line="480" w:lineRule="atLeast"/>
        <w:ind w:firstLine="660"/>
        <w:rPr>
          <w:rFonts w:ascii="仿宋_GB2312" w:eastAsia="仿宋_GB2312" w:hAnsi="宋体"/>
          <w:sz w:val="30"/>
          <w:szCs w:val="30"/>
        </w:rPr>
      </w:pPr>
      <w:r w:rsidRPr="008B548F">
        <w:rPr>
          <w:rFonts w:ascii="仿宋_GB2312" w:eastAsia="仿宋_GB2312" w:hAnsi="宋体" w:hint="eastAsia"/>
          <w:sz w:val="30"/>
          <w:szCs w:val="30"/>
        </w:rPr>
        <w:t>通过对行政诉讼及</w:t>
      </w:r>
      <w:r w:rsidR="00631402" w:rsidRPr="008B548F">
        <w:rPr>
          <w:rFonts w:ascii="仿宋_GB2312" w:eastAsia="仿宋_GB2312" w:hAnsi="宋体" w:hint="eastAsia"/>
          <w:sz w:val="30"/>
          <w:szCs w:val="30"/>
        </w:rPr>
        <w:t>非诉案件</w:t>
      </w:r>
      <w:r w:rsidR="007E0AF0" w:rsidRPr="008B548F">
        <w:rPr>
          <w:rFonts w:ascii="仿宋_GB2312" w:eastAsia="仿宋_GB2312" w:hAnsi="宋体" w:hint="eastAsia"/>
          <w:sz w:val="30"/>
          <w:szCs w:val="30"/>
        </w:rPr>
        <w:t>审理情况</w:t>
      </w:r>
      <w:r w:rsidR="000D1E78" w:rsidRPr="008B548F">
        <w:rPr>
          <w:rFonts w:ascii="仿宋_GB2312" w:eastAsia="仿宋_GB2312" w:hAnsi="宋体" w:hint="eastAsia"/>
          <w:sz w:val="30"/>
          <w:szCs w:val="30"/>
        </w:rPr>
        <w:t>的分析，可以看出：</w:t>
      </w:r>
    </w:p>
    <w:p w:rsidR="003B5523" w:rsidRPr="008B548F" w:rsidRDefault="000D1E78" w:rsidP="00622AD0">
      <w:pPr>
        <w:snapToGrid w:val="0"/>
        <w:spacing w:line="480" w:lineRule="atLeast"/>
        <w:ind w:firstLine="660"/>
        <w:rPr>
          <w:rFonts w:ascii="仿宋_GB2312" w:eastAsia="仿宋_GB2312" w:hAnsi="宋体"/>
          <w:sz w:val="30"/>
          <w:szCs w:val="30"/>
        </w:rPr>
      </w:pPr>
      <w:r w:rsidRPr="008B548F">
        <w:rPr>
          <w:rFonts w:ascii="仿宋_GB2312" w:eastAsia="仿宋_GB2312" w:hAnsi="宋体" w:hint="eastAsia"/>
          <w:sz w:val="30"/>
          <w:szCs w:val="30"/>
        </w:rPr>
        <w:t>1.行政机关对依职权作出的行政行为所</w:t>
      </w:r>
      <w:r w:rsidR="0047236B" w:rsidRPr="008B548F">
        <w:rPr>
          <w:rFonts w:ascii="仿宋_GB2312" w:eastAsia="仿宋_GB2312" w:hAnsi="宋体" w:hint="eastAsia"/>
          <w:sz w:val="30"/>
          <w:szCs w:val="30"/>
        </w:rPr>
        <w:t>适用</w:t>
      </w:r>
      <w:r w:rsidRPr="008B548F">
        <w:rPr>
          <w:rFonts w:ascii="仿宋_GB2312" w:eastAsia="仿宋_GB2312" w:hAnsi="宋体" w:hint="eastAsia"/>
          <w:sz w:val="30"/>
          <w:szCs w:val="30"/>
        </w:rPr>
        <w:t>的行政程序还有待完善，在保障行政相对人知情权以及上下级行政机关工作衔接等方面需进一步加强。</w:t>
      </w:r>
    </w:p>
    <w:p w:rsidR="007E0AF0" w:rsidRPr="008B548F" w:rsidRDefault="000D1E78" w:rsidP="00622AD0">
      <w:pPr>
        <w:snapToGrid w:val="0"/>
        <w:spacing w:line="480" w:lineRule="atLeast"/>
        <w:ind w:firstLine="660"/>
        <w:rPr>
          <w:rFonts w:ascii="仿宋_GB2312" w:eastAsia="仿宋_GB2312" w:hAnsi="宋体"/>
          <w:sz w:val="30"/>
          <w:szCs w:val="30"/>
        </w:rPr>
      </w:pPr>
      <w:r w:rsidRPr="008B548F">
        <w:rPr>
          <w:rFonts w:ascii="仿宋_GB2312" w:eastAsia="仿宋_GB2312" w:hAnsi="宋体" w:hint="eastAsia"/>
          <w:sz w:val="30"/>
          <w:szCs w:val="30"/>
        </w:rPr>
        <w:lastRenderedPageBreak/>
        <w:t>2.</w:t>
      </w:r>
      <w:r w:rsidR="007E0AF0" w:rsidRPr="008B548F">
        <w:rPr>
          <w:rFonts w:ascii="仿宋_GB2312" w:eastAsia="仿宋_GB2312" w:hAnsi="宋体" w:hint="eastAsia"/>
          <w:sz w:val="30"/>
          <w:szCs w:val="30"/>
        </w:rPr>
        <w:t>各行政机关负责人出庭率有所下降，即便负责人出庭，但在庭审中陈述意见的较少，“出庭不出声”现象普遍存在。</w:t>
      </w:r>
    </w:p>
    <w:p w:rsidR="000D1E78" w:rsidRPr="008B548F" w:rsidRDefault="007E0AF0" w:rsidP="007E0AF0">
      <w:pPr>
        <w:snapToGrid w:val="0"/>
        <w:spacing w:line="480" w:lineRule="atLeast"/>
        <w:ind w:firstLine="660"/>
        <w:rPr>
          <w:rFonts w:ascii="仿宋_GB2312" w:eastAsia="仿宋_GB2312" w:hAnsi="宋体"/>
          <w:sz w:val="30"/>
          <w:szCs w:val="30"/>
        </w:rPr>
      </w:pPr>
      <w:r w:rsidRPr="008B548F">
        <w:rPr>
          <w:rFonts w:ascii="仿宋_GB2312" w:eastAsia="仿宋_GB2312" w:hAnsi="宋体" w:hint="eastAsia"/>
          <w:sz w:val="30"/>
          <w:szCs w:val="30"/>
        </w:rPr>
        <w:t>3.国有土地上房屋征收与补偿领域收案数有所增加，反映出国有土地上征收与补偿工作仍需加大力度做细、做透，对相关的</w:t>
      </w:r>
      <w:r w:rsidR="000D1E78" w:rsidRPr="008B548F">
        <w:rPr>
          <w:rFonts w:ascii="仿宋_GB2312" w:eastAsia="仿宋_GB2312" w:hAnsi="宋体" w:hint="eastAsia"/>
          <w:sz w:val="30"/>
          <w:szCs w:val="30"/>
        </w:rPr>
        <w:t>法律、法规、部门规章理解</w:t>
      </w:r>
      <w:r w:rsidRPr="008B548F">
        <w:rPr>
          <w:rFonts w:ascii="仿宋_GB2312" w:eastAsia="仿宋_GB2312" w:hAnsi="宋体" w:hint="eastAsia"/>
          <w:sz w:val="30"/>
          <w:szCs w:val="30"/>
        </w:rPr>
        <w:t>要结合具体情况，灵活运用，</w:t>
      </w:r>
      <w:r w:rsidR="00E65573">
        <w:rPr>
          <w:rFonts w:ascii="仿宋_GB2312" w:eastAsia="仿宋_GB2312" w:hAnsi="宋体" w:hint="eastAsia"/>
          <w:sz w:val="30"/>
          <w:szCs w:val="30"/>
        </w:rPr>
        <w:t>合法、合规、</w:t>
      </w:r>
      <w:r w:rsidRPr="008B548F">
        <w:rPr>
          <w:rFonts w:ascii="仿宋_GB2312" w:eastAsia="仿宋_GB2312" w:hAnsi="宋体" w:hint="eastAsia"/>
          <w:sz w:val="30"/>
          <w:szCs w:val="30"/>
        </w:rPr>
        <w:t>合情</w:t>
      </w:r>
      <w:r w:rsidR="00E65573">
        <w:rPr>
          <w:rFonts w:ascii="仿宋_GB2312" w:eastAsia="仿宋_GB2312" w:hAnsi="宋体" w:hint="eastAsia"/>
          <w:sz w:val="30"/>
          <w:szCs w:val="30"/>
        </w:rPr>
        <w:t>、</w:t>
      </w:r>
      <w:r w:rsidRPr="008B548F">
        <w:rPr>
          <w:rFonts w:ascii="仿宋_GB2312" w:eastAsia="仿宋_GB2312" w:hAnsi="宋体" w:hint="eastAsia"/>
          <w:sz w:val="30"/>
          <w:szCs w:val="30"/>
        </w:rPr>
        <w:t>合理。</w:t>
      </w:r>
    </w:p>
    <w:p w:rsidR="000D1E78" w:rsidRPr="008B548F" w:rsidRDefault="000D1E78" w:rsidP="00622AD0">
      <w:pPr>
        <w:snapToGrid w:val="0"/>
        <w:spacing w:line="480" w:lineRule="atLeast"/>
        <w:ind w:firstLine="660"/>
        <w:rPr>
          <w:rFonts w:ascii="仿宋_GB2312" w:eastAsia="仿宋_GB2312" w:hAnsi="宋体"/>
          <w:sz w:val="30"/>
          <w:szCs w:val="30"/>
        </w:rPr>
      </w:pPr>
      <w:r w:rsidRPr="008B548F">
        <w:rPr>
          <w:rFonts w:ascii="仿宋_GB2312" w:eastAsia="仿宋_GB2312" w:hAnsi="宋体" w:hint="eastAsia"/>
          <w:sz w:val="30"/>
          <w:szCs w:val="30"/>
        </w:rPr>
        <w:t>4.</w:t>
      </w:r>
      <w:r w:rsidR="007E0AF0" w:rsidRPr="008B548F">
        <w:rPr>
          <w:rFonts w:ascii="仿宋_GB2312" w:eastAsia="仿宋_GB2312" w:hAnsi="宋体" w:hint="eastAsia"/>
          <w:sz w:val="30"/>
          <w:szCs w:val="30"/>
        </w:rPr>
        <w:t xml:space="preserve"> 行政机关的契约精神和诚信意识还有待提高，不能片面追求行政效率和政绩，对行政协议怠于履行，有碍企业长期发展，有损法治化营商环境。</w:t>
      </w:r>
    </w:p>
    <w:p w:rsidR="003B5523" w:rsidRPr="008B548F" w:rsidRDefault="003B5523" w:rsidP="00622AD0">
      <w:pPr>
        <w:snapToGrid w:val="0"/>
        <w:spacing w:line="480" w:lineRule="atLeast"/>
        <w:ind w:firstLine="660"/>
        <w:rPr>
          <w:rFonts w:ascii="仿宋_GB2312" w:eastAsia="仿宋_GB2312" w:hAnsi="宋体"/>
          <w:b/>
          <w:sz w:val="30"/>
          <w:szCs w:val="30"/>
        </w:rPr>
      </w:pPr>
      <w:r w:rsidRPr="008B548F">
        <w:rPr>
          <w:rFonts w:ascii="仿宋_GB2312" w:eastAsia="仿宋_GB2312" w:hAnsi="宋体" w:hint="eastAsia"/>
          <w:b/>
          <w:sz w:val="30"/>
          <w:szCs w:val="30"/>
        </w:rPr>
        <w:t>三、</w:t>
      </w:r>
      <w:r w:rsidR="00631402" w:rsidRPr="008B548F">
        <w:rPr>
          <w:rFonts w:ascii="仿宋_GB2312" w:eastAsia="仿宋_GB2312" w:hAnsi="宋体" w:hint="eastAsia"/>
          <w:b/>
          <w:sz w:val="30"/>
          <w:szCs w:val="30"/>
        </w:rPr>
        <w:t>深入推进依法行政的建议</w:t>
      </w:r>
    </w:p>
    <w:p w:rsidR="00631402" w:rsidRPr="008B548F" w:rsidRDefault="00631402" w:rsidP="00622AD0">
      <w:pPr>
        <w:snapToGrid w:val="0"/>
        <w:spacing w:line="480" w:lineRule="atLeast"/>
        <w:ind w:firstLine="660"/>
        <w:rPr>
          <w:rFonts w:ascii="仿宋_GB2312" w:eastAsia="仿宋_GB2312" w:hAnsi="宋体"/>
          <w:sz w:val="30"/>
          <w:szCs w:val="30"/>
        </w:rPr>
      </w:pPr>
      <w:r w:rsidRPr="008B548F">
        <w:rPr>
          <w:rFonts w:ascii="仿宋_GB2312" w:eastAsia="仿宋_GB2312" w:hAnsi="宋体" w:hint="eastAsia"/>
          <w:sz w:val="30"/>
          <w:szCs w:val="30"/>
        </w:rPr>
        <w:t>1.提高法治思维和</w:t>
      </w:r>
      <w:r w:rsidR="000D1E78" w:rsidRPr="008B548F">
        <w:rPr>
          <w:rFonts w:ascii="仿宋_GB2312" w:eastAsia="仿宋_GB2312" w:hAnsi="宋体" w:hint="eastAsia"/>
          <w:sz w:val="30"/>
          <w:szCs w:val="30"/>
        </w:rPr>
        <w:t>依法行政的</w:t>
      </w:r>
      <w:r w:rsidRPr="008B548F">
        <w:rPr>
          <w:rFonts w:ascii="仿宋_GB2312" w:eastAsia="仿宋_GB2312" w:hAnsi="宋体" w:hint="eastAsia"/>
          <w:sz w:val="30"/>
          <w:szCs w:val="30"/>
        </w:rPr>
        <w:t>能力，</w:t>
      </w:r>
      <w:r w:rsidR="000D1E78" w:rsidRPr="008B548F">
        <w:rPr>
          <w:rFonts w:ascii="仿宋_GB2312" w:eastAsia="仿宋_GB2312" w:hAnsi="宋体" w:hint="eastAsia"/>
          <w:sz w:val="30"/>
          <w:szCs w:val="30"/>
        </w:rPr>
        <w:t>从实体到程序全方位</w:t>
      </w:r>
      <w:r w:rsidRPr="008B548F">
        <w:rPr>
          <w:rFonts w:ascii="仿宋_GB2312" w:eastAsia="仿宋_GB2312" w:hAnsi="宋体" w:hint="eastAsia"/>
          <w:sz w:val="30"/>
          <w:szCs w:val="30"/>
        </w:rPr>
        <w:t>规范执法行为</w:t>
      </w:r>
      <w:r w:rsidR="007A09FA" w:rsidRPr="008B548F">
        <w:rPr>
          <w:rFonts w:ascii="仿宋_GB2312" w:eastAsia="仿宋_GB2312" w:hAnsi="宋体" w:hint="eastAsia"/>
          <w:sz w:val="30"/>
          <w:szCs w:val="30"/>
        </w:rPr>
        <w:t>，提高执法人员的法律意识、程序意识、证据意识，</w:t>
      </w:r>
      <w:r w:rsidRPr="008B548F">
        <w:rPr>
          <w:rFonts w:ascii="仿宋_GB2312" w:eastAsia="仿宋_GB2312" w:hAnsi="宋体" w:hint="eastAsia"/>
          <w:sz w:val="30"/>
          <w:szCs w:val="30"/>
        </w:rPr>
        <w:t>切实提升基层执法能力水平。</w:t>
      </w:r>
    </w:p>
    <w:p w:rsidR="00631402" w:rsidRPr="008B548F" w:rsidRDefault="00631402" w:rsidP="00622AD0">
      <w:pPr>
        <w:snapToGrid w:val="0"/>
        <w:spacing w:line="480" w:lineRule="atLeast"/>
        <w:ind w:firstLine="660"/>
        <w:rPr>
          <w:rFonts w:ascii="仿宋_GB2312" w:eastAsia="仿宋_GB2312" w:hAnsi="宋体"/>
          <w:sz w:val="30"/>
          <w:szCs w:val="30"/>
        </w:rPr>
      </w:pPr>
      <w:r w:rsidRPr="008B548F">
        <w:rPr>
          <w:rFonts w:ascii="仿宋_GB2312" w:eastAsia="仿宋_GB2312" w:hAnsi="宋体" w:hint="eastAsia"/>
          <w:sz w:val="30"/>
          <w:szCs w:val="30"/>
        </w:rPr>
        <w:t>2.深化行政争议多元化解机制，提升行政争议治理能力与水平。深入推动争议化解配套举措落地见效，确保实质性化解行政争议落到实处。</w:t>
      </w:r>
    </w:p>
    <w:p w:rsidR="00631402" w:rsidRPr="008B548F" w:rsidRDefault="00631402" w:rsidP="00622AD0">
      <w:pPr>
        <w:snapToGrid w:val="0"/>
        <w:spacing w:line="480" w:lineRule="atLeast"/>
        <w:ind w:firstLine="660"/>
        <w:rPr>
          <w:rFonts w:ascii="仿宋_GB2312" w:eastAsia="仿宋_GB2312" w:hAnsi="宋体"/>
          <w:sz w:val="30"/>
          <w:szCs w:val="30"/>
        </w:rPr>
      </w:pPr>
      <w:r w:rsidRPr="008B548F">
        <w:rPr>
          <w:rFonts w:ascii="仿宋_GB2312" w:eastAsia="仿宋_GB2312" w:hAnsi="宋体" w:hint="eastAsia"/>
          <w:sz w:val="30"/>
          <w:szCs w:val="30"/>
        </w:rPr>
        <w:t>3.加强行政与司法良性互动，提高行政执法与行政审判水平。推进府院互动平台建设，强化行政裁决、行政调解、行政复议、行政诉讼等多元纠纷化解衔接，健全行政应诉机制。</w:t>
      </w:r>
    </w:p>
    <w:p w:rsidR="00622AD0" w:rsidRPr="008B548F" w:rsidRDefault="00622AD0" w:rsidP="00595848">
      <w:pPr>
        <w:snapToGrid w:val="0"/>
        <w:spacing w:line="480" w:lineRule="atLeast"/>
        <w:ind w:firstLineChars="198" w:firstLine="596"/>
        <w:rPr>
          <w:rFonts w:ascii="仿宋_GB2312" w:eastAsia="仿宋_GB2312" w:hAnsi="宋体"/>
          <w:sz w:val="30"/>
          <w:szCs w:val="30"/>
        </w:rPr>
      </w:pPr>
      <w:r w:rsidRPr="008B548F">
        <w:rPr>
          <w:rFonts w:ascii="仿宋_GB2312" w:eastAsia="仿宋_GB2312" w:hAnsi="宋体" w:hint="eastAsia"/>
          <w:b/>
          <w:sz w:val="30"/>
          <w:szCs w:val="30"/>
        </w:rPr>
        <w:t>四、</w:t>
      </w:r>
      <w:r w:rsidR="00DC4C96" w:rsidRPr="008B548F">
        <w:rPr>
          <w:rFonts w:ascii="仿宋_GB2312" w:eastAsia="仿宋_GB2312" w:hAnsi="宋体" w:hint="eastAsia"/>
          <w:b/>
          <w:sz w:val="30"/>
          <w:szCs w:val="30"/>
        </w:rPr>
        <w:t>继续完善</w:t>
      </w:r>
      <w:r w:rsidR="006C322A" w:rsidRPr="008B548F">
        <w:rPr>
          <w:rFonts w:ascii="仿宋_GB2312" w:eastAsia="仿宋_GB2312" w:hAnsi="宋体" w:hint="eastAsia"/>
          <w:b/>
          <w:sz w:val="30"/>
          <w:szCs w:val="30"/>
        </w:rPr>
        <w:t>“府院联动</w:t>
      </w:r>
      <w:r w:rsidRPr="008B548F">
        <w:rPr>
          <w:rFonts w:ascii="仿宋_GB2312" w:eastAsia="仿宋_GB2312" w:hAnsi="宋体" w:hint="eastAsia"/>
          <w:b/>
          <w:sz w:val="30"/>
          <w:szCs w:val="30"/>
        </w:rPr>
        <w:t>”制度</w:t>
      </w:r>
    </w:p>
    <w:p w:rsidR="00B82B57" w:rsidRPr="008B548F" w:rsidRDefault="00B82B57" w:rsidP="00B82B57">
      <w:pPr>
        <w:autoSpaceDE w:val="0"/>
        <w:autoSpaceDN w:val="0"/>
        <w:adjustRightInd w:val="0"/>
        <w:spacing w:line="600" w:lineRule="exact"/>
        <w:ind w:firstLineChars="200" w:firstLine="600"/>
        <w:jc w:val="left"/>
        <w:rPr>
          <w:rFonts w:ascii="仿宋_GB2312" w:eastAsia="仿宋_GB2312" w:hAnsi="仿宋"/>
          <w:sz w:val="30"/>
          <w:szCs w:val="30"/>
        </w:rPr>
      </w:pPr>
      <w:r w:rsidRPr="008B548F">
        <w:rPr>
          <w:rFonts w:ascii="仿宋_GB2312" w:eastAsia="仿宋_GB2312" w:hAnsi="仿宋" w:hint="eastAsia"/>
          <w:sz w:val="30"/>
          <w:szCs w:val="30"/>
        </w:rPr>
        <w:t>一是进一步扩大府院联动工作成效。</w:t>
      </w:r>
      <w:r w:rsidR="008B548F" w:rsidRPr="008B548F">
        <w:rPr>
          <w:rFonts w:ascii="仿宋_GB2312" w:eastAsia="仿宋_GB2312" w:hAnsi="仿宋" w:hint="eastAsia"/>
          <w:sz w:val="30"/>
          <w:szCs w:val="30"/>
        </w:rPr>
        <w:t>要加强对行政争议协调化解中心标准化建设，硬</w:t>
      </w:r>
      <w:r w:rsidRPr="008B548F">
        <w:rPr>
          <w:rFonts w:ascii="仿宋_GB2312" w:eastAsia="仿宋_GB2312" w:hAnsi="仿宋" w:hint="eastAsia"/>
          <w:sz w:val="30"/>
          <w:szCs w:val="30"/>
        </w:rPr>
        <w:t>件设施配套完备，加大调解人员储备，相关经费要纳入财政预算。研究制定协调化解中心工作规</w:t>
      </w:r>
      <w:r w:rsidR="008B548F" w:rsidRPr="008B548F">
        <w:rPr>
          <w:rFonts w:ascii="仿宋_GB2312" w:eastAsia="仿宋_GB2312" w:hAnsi="仿宋" w:hint="eastAsia"/>
          <w:sz w:val="30"/>
          <w:szCs w:val="30"/>
        </w:rPr>
        <w:t>程，规</w:t>
      </w:r>
      <w:r w:rsidRPr="008B548F">
        <w:rPr>
          <w:rFonts w:ascii="仿宋_GB2312" w:eastAsia="仿宋_GB2312" w:hAnsi="仿宋" w:hint="eastAsia"/>
          <w:sz w:val="30"/>
          <w:szCs w:val="30"/>
        </w:rPr>
        <w:t>范行政争议诉前化解流</w:t>
      </w:r>
      <w:r w:rsidR="008B548F" w:rsidRPr="008B548F">
        <w:rPr>
          <w:rFonts w:ascii="仿宋_GB2312" w:eastAsia="仿宋_GB2312" w:hAnsi="仿宋" w:hint="eastAsia"/>
          <w:sz w:val="30"/>
          <w:szCs w:val="30"/>
        </w:rPr>
        <w:t>程，并</w:t>
      </w:r>
      <w:r w:rsidRPr="008B548F">
        <w:rPr>
          <w:rFonts w:ascii="仿宋_GB2312" w:eastAsia="仿宋_GB2312" w:hAnsi="仿宋" w:hint="eastAsia"/>
          <w:sz w:val="30"/>
          <w:szCs w:val="30"/>
        </w:rPr>
        <w:t>建立相应的考核机制等配套制</w:t>
      </w:r>
      <w:r w:rsidR="008B548F" w:rsidRPr="008B548F">
        <w:rPr>
          <w:rFonts w:ascii="仿宋_GB2312" w:eastAsia="仿宋_GB2312" w:hAnsi="仿宋" w:hint="eastAsia"/>
          <w:sz w:val="30"/>
          <w:szCs w:val="30"/>
        </w:rPr>
        <w:t>度，进</w:t>
      </w:r>
      <w:r w:rsidRPr="008B548F">
        <w:rPr>
          <w:rFonts w:ascii="仿宋_GB2312" w:eastAsia="仿宋_GB2312" w:hAnsi="仿宋" w:hint="eastAsia"/>
          <w:sz w:val="30"/>
          <w:szCs w:val="30"/>
        </w:rPr>
        <w:t>一步促进行政争议协调化解中心实体化、</w:t>
      </w:r>
      <w:r w:rsidR="008B548F" w:rsidRPr="008B548F">
        <w:rPr>
          <w:rFonts w:ascii="仿宋_GB2312" w:eastAsia="仿宋_GB2312" w:hAnsi="仿宋" w:hint="eastAsia"/>
          <w:sz w:val="30"/>
          <w:szCs w:val="30"/>
        </w:rPr>
        <w:t>规范化运行，推</w:t>
      </w:r>
      <w:r w:rsidRPr="008B548F">
        <w:rPr>
          <w:rFonts w:ascii="仿宋_GB2312" w:eastAsia="仿宋_GB2312" w:hAnsi="仿宋" w:hint="eastAsia"/>
          <w:sz w:val="30"/>
          <w:szCs w:val="30"/>
        </w:rPr>
        <w:t>动行政争议实质性化解取得更大进展。</w:t>
      </w:r>
    </w:p>
    <w:p w:rsidR="00B82B57" w:rsidRPr="008B548F" w:rsidRDefault="00B82B57" w:rsidP="00B82B57">
      <w:pPr>
        <w:autoSpaceDE w:val="0"/>
        <w:autoSpaceDN w:val="0"/>
        <w:adjustRightInd w:val="0"/>
        <w:spacing w:line="600" w:lineRule="exact"/>
        <w:ind w:firstLineChars="200" w:firstLine="600"/>
        <w:jc w:val="left"/>
        <w:rPr>
          <w:rFonts w:ascii="仿宋_GB2312" w:eastAsia="仿宋_GB2312" w:hAnsi="仿宋"/>
          <w:sz w:val="30"/>
          <w:szCs w:val="30"/>
        </w:rPr>
      </w:pPr>
      <w:r w:rsidRPr="008B548F">
        <w:rPr>
          <w:rFonts w:ascii="仿宋_GB2312" w:eastAsia="仿宋_GB2312" w:hAnsi="仿宋" w:hint="eastAsia"/>
          <w:sz w:val="30"/>
          <w:szCs w:val="30"/>
        </w:rPr>
        <w:t>二是要加强源头预防联控。对辖区内存在的行业风险案件提</w:t>
      </w:r>
      <w:r w:rsidRPr="008B548F">
        <w:rPr>
          <w:rFonts w:ascii="仿宋_GB2312" w:eastAsia="仿宋_GB2312" w:hAnsi="仿宋" w:hint="eastAsia"/>
          <w:sz w:val="30"/>
          <w:szCs w:val="30"/>
        </w:rPr>
        <w:lastRenderedPageBreak/>
        <w:t>前预测，分析研判，提出防预措施。完善矛盾纠纷源头化解机制，</w:t>
      </w:r>
      <w:r w:rsidR="008B548F" w:rsidRPr="008B548F">
        <w:rPr>
          <w:rFonts w:ascii="仿宋_GB2312" w:eastAsia="仿宋_GB2312" w:hAnsi="仿宋" w:hint="eastAsia"/>
          <w:sz w:val="30"/>
          <w:szCs w:val="30"/>
        </w:rPr>
        <w:t>把非诉讼纠纷解决机制挺在前面，加</w:t>
      </w:r>
      <w:r w:rsidRPr="008B548F">
        <w:rPr>
          <w:rFonts w:ascii="仿宋_GB2312" w:eastAsia="仿宋_GB2312" w:hAnsi="仿宋" w:hint="eastAsia"/>
          <w:sz w:val="30"/>
          <w:szCs w:val="30"/>
        </w:rPr>
        <w:t>强矛盾纠纷源头预防、前端化解、关口把</w:t>
      </w:r>
      <w:r w:rsidR="008B548F" w:rsidRPr="008B548F">
        <w:rPr>
          <w:rFonts w:ascii="仿宋_GB2312" w:eastAsia="仿宋_GB2312" w:hAnsi="仿宋" w:hint="eastAsia"/>
          <w:sz w:val="30"/>
          <w:szCs w:val="30"/>
        </w:rPr>
        <w:t>控，完</w:t>
      </w:r>
      <w:r w:rsidRPr="008B548F">
        <w:rPr>
          <w:rFonts w:ascii="仿宋_GB2312" w:eastAsia="仿宋_GB2312" w:hAnsi="仿宋" w:hint="eastAsia"/>
          <w:sz w:val="30"/>
          <w:szCs w:val="30"/>
        </w:rPr>
        <w:t>善预防性法律制</w:t>
      </w:r>
      <w:r w:rsidR="008B548F" w:rsidRPr="008B548F">
        <w:rPr>
          <w:rFonts w:ascii="仿宋_GB2312" w:eastAsia="仿宋_GB2312" w:hAnsi="仿宋" w:hint="eastAsia"/>
          <w:sz w:val="30"/>
          <w:szCs w:val="30"/>
        </w:rPr>
        <w:t>度，从</w:t>
      </w:r>
      <w:r w:rsidRPr="008B548F">
        <w:rPr>
          <w:rFonts w:ascii="仿宋_GB2312" w:eastAsia="仿宋_GB2312" w:hAnsi="仿宋" w:hint="eastAsia"/>
          <w:sz w:val="30"/>
          <w:szCs w:val="30"/>
        </w:rPr>
        <w:t>源头上减少诉讼增量。</w:t>
      </w:r>
    </w:p>
    <w:p w:rsidR="00B82B57" w:rsidRPr="008B548F" w:rsidRDefault="00B82B57" w:rsidP="00B82B57">
      <w:pPr>
        <w:autoSpaceDE w:val="0"/>
        <w:autoSpaceDN w:val="0"/>
        <w:adjustRightInd w:val="0"/>
        <w:spacing w:line="600" w:lineRule="exact"/>
        <w:ind w:firstLineChars="200" w:firstLine="600"/>
        <w:jc w:val="left"/>
        <w:rPr>
          <w:rFonts w:ascii="仿宋_GB2312" w:eastAsia="仿宋_GB2312" w:hAnsi="仿宋"/>
          <w:sz w:val="30"/>
          <w:szCs w:val="30"/>
        </w:rPr>
      </w:pPr>
      <w:r w:rsidRPr="008B548F">
        <w:rPr>
          <w:rFonts w:ascii="仿宋_GB2312" w:eastAsia="仿宋_GB2312" w:hAnsi="仿宋" w:hint="eastAsia"/>
          <w:sz w:val="30"/>
          <w:szCs w:val="30"/>
        </w:rPr>
        <w:t>三是今年要持续推进三项配套工作机制建</w:t>
      </w:r>
      <w:r w:rsidR="008B548F" w:rsidRPr="008B548F">
        <w:rPr>
          <w:rFonts w:ascii="仿宋_GB2312" w:eastAsia="仿宋_GB2312" w:hAnsi="仿宋" w:hint="eastAsia"/>
          <w:sz w:val="30"/>
          <w:szCs w:val="30"/>
        </w:rPr>
        <w:t>设，针</w:t>
      </w:r>
      <w:r w:rsidRPr="008B548F">
        <w:rPr>
          <w:rFonts w:ascii="仿宋_GB2312" w:eastAsia="仿宋_GB2312" w:hAnsi="仿宋" w:hint="eastAsia"/>
          <w:sz w:val="30"/>
          <w:szCs w:val="30"/>
        </w:rPr>
        <w:t>对司法实践中反映出的行政执法突出问</w:t>
      </w:r>
      <w:r w:rsidR="008B548F" w:rsidRPr="008B548F">
        <w:rPr>
          <w:rFonts w:ascii="仿宋_GB2312" w:eastAsia="仿宋_GB2312" w:hAnsi="仿宋" w:hint="eastAsia"/>
          <w:sz w:val="30"/>
          <w:szCs w:val="30"/>
        </w:rPr>
        <w:t>题，我</w:t>
      </w:r>
      <w:r w:rsidRPr="008B548F">
        <w:rPr>
          <w:rFonts w:ascii="仿宋_GB2312" w:eastAsia="仿宋_GB2312" w:hAnsi="仿宋" w:hint="eastAsia"/>
          <w:sz w:val="30"/>
          <w:szCs w:val="30"/>
        </w:rPr>
        <w:t>院将认真梳理总结行政机关败诉原</w:t>
      </w:r>
      <w:r w:rsidR="008B548F" w:rsidRPr="008B548F">
        <w:rPr>
          <w:rFonts w:ascii="仿宋_GB2312" w:eastAsia="仿宋_GB2312" w:hAnsi="仿宋" w:hint="eastAsia"/>
          <w:sz w:val="30"/>
          <w:szCs w:val="30"/>
        </w:rPr>
        <w:t>因，并</w:t>
      </w:r>
      <w:r w:rsidRPr="008B548F">
        <w:rPr>
          <w:rFonts w:ascii="仿宋_GB2312" w:eastAsia="仿宋_GB2312" w:hAnsi="仿宋" w:hint="eastAsia"/>
          <w:sz w:val="30"/>
          <w:szCs w:val="30"/>
        </w:rPr>
        <w:t>就一些行政执法矛盾集中领</w:t>
      </w:r>
      <w:r w:rsidR="008B548F" w:rsidRPr="008B548F">
        <w:rPr>
          <w:rFonts w:ascii="仿宋_GB2312" w:eastAsia="仿宋_GB2312" w:hAnsi="仿宋" w:hint="eastAsia"/>
          <w:sz w:val="30"/>
          <w:szCs w:val="30"/>
        </w:rPr>
        <w:t>域，与</w:t>
      </w:r>
      <w:r w:rsidRPr="008B548F">
        <w:rPr>
          <w:rFonts w:ascii="仿宋_GB2312" w:eastAsia="仿宋_GB2312" w:hAnsi="仿宋" w:hint="eastAsia"/>
          <w:sz w:val="30"/>
          <w:szCs w:val="30"/>
        </w:rPr>
        <w:t>行政机关联合开展专题调</w:t>
      </w:r>
      <w:r w:rsidR="008B548F" w:rsidRPr="008B548F">
        <w:rPr>
          <w:rFonts w:ascii="仿宋_GB2312" w:eastAsia="仿宋_GB2312" w:hAnsi="仿宋" w:hint="eastAsia"/>
          <w:sz w:val="30"/>
          <w:szCs w:val="30"/>
        </w:rPr>
        <w:t>研，通</w:t>
      </w:r>
      <w:r w:rsidRPr="008B548F">
        <w:rPr>
          <w:rFonts w:ascii="仿宋_GB2312" w:eastAsia="仿宋_GB2312" w:hAnsi="仿宋" w:hint="eastAsia"/>
          <w:sz w:val="30"/>
          <w:szCs w:val="30"/>
        </w:rPr>
        <w:t>过提出司法建议、出台规范文件等方</w:t>
      </w:r>
      <w:r w:rsidR="008B548F" w:rsidRPr="008B548F">
        <w:rPr>
          <w:rFonts w:ascii="仿宋_GB2312" w:eastAsia="仿宋_GB2312" w:hAnsi="仿宋" w:hint="eastAsia"/>
          <w:sz w:val="30"/>
          <w:szCs w:val="30"/>
        </w:rPr>
        <w:t>式，努</w:t>
      </w:r>
      <w:r w:rsidRPr="008B548F">
        <w:rPr>
          <w:rFonts w:ascii="仿宋_GB2312" w:eastAsia="仿宋_GB2312" w:hAnsi="仿宋" w:hint="eastAsia"/>
          <w:sz w:val="30"/>
          <w:szCs w:val="30"/>
        </w:rPr>
        <w:t>力通过前端治理预防减少行政争</w:t>
      </w:r>
      <w:r w:rsidR="008B548F" w:rsidRPr="008B548F">
        <w:rPr>
          <w:rFonts w:ascii="仿宋_GB2312" w:eastAsia="仿宋_GB2312" w:hAnsi="仿宋" w:hint="eastAsia"/>
          <w:sz w:val="30"/>
          <w:szCs w:val="30"/>
        </w:rPr>
        <w:t>议，促</w:t>
      </w:r>
      <w:r w:rsidRPr="008B548F">
        <w:rPr>
          <w:rFonts w:ascii="仿宋_GB2312" w:eastAsia="仿宋_GB2312" w:hAnsi="仿宋" w:hint="eastAsia"/>
          <w:sz w:val="30"/>
          <w:szCs w:val="30"/>
        </w:rPr>
        <w:t>进提升行政执法能力水平。</w:t>
      </w:r>
    </w:p>
    <w:p w:rsidR="00B82B57" w:rsidRPr="008B548F" w:rsidRDefault="00B82B57" w:rsidP="00B82B57">
      <w:pPr>
        <w:spacing w:line="600" w:lineRule="exact"/>
        <w:ind w:firstLineChars="200" w:firstLine="600"/>
        <w:rPr>
          <w:rFonts w:ascii="仿宋_GB2312" w:eastAsia="仿宋_GB2312" w:hAnsi="仿宋"/>
          <w:sz w:val="30"/>
          <w:szCs w:val="30"/>
        </w:rPr>
      </w:pPr>
      <w:r w:rsidRPr="008B548F">
        <w:rPr>
          <w:rFonts w:ascii="仿宋_GB2312" w:eastAsia="仿宋_GB2312" w:hAnsi="仿宋" w:hint="eastAsia"/>
          <w:sz w:val="30"/>
          <w:szCs w:val="30"/>
        </w:rPr>
        <w:t>四是法院政府同发力，切实发挥法院在优化营商环境中的职能作用。今年我院将主抓破产案件的处理工作，目前我院正在审理的两起破产案件分别为吉林市兽药厂及苏州街商场破产清算案件，两起破产清算案件均系信访立案，如处理不当极易引发群体访，在处理此类案件时我院将充分发挥府院联动优势，与破产企业监管部门共同研究破产案件处理过程中存在</w:t>
      </w:r>
      <w:r w:rsidR="00E65573">
        <w:rPr>
          <w:rFonts w:ascii="仿宋_GB2312" w:eastAsia="仿宋_GB2312" w:hAnsi="仿宋" w:hint="eastAsia"/>
          <w:sz w:val="30"/>
          <w:szCs w:val="30"/>
        </w:rPr>
        <w:t>的</w:t>
      </w:r>
      <w:r w:rsidRPr="008B548F">
        <w:rPr>
          <w:rFonts w:ascii="仿宋_GB2312" w:eastAsia="仿宋_GB2312" w:hAnsi="仿宋" w:hint="eastAsia"/>
          <w:sz w:val="30"/>
          <w:szCs w:val="30"/>
        </w:rPr>
        <w:t>企业职工安置、税费减免、资产变现、风险处置等多项问题，充分利用政府职能部门的协调作用，加大协同工作力度，不断提升破产案件办理质效。</w:t>
      </w:r>
    </w:p>
    <w:p w:rsidR="00622AD0" w:rsidRPr="008B548F" w:rsidRDefault="00622AD0" w:rsidP="00622AD0">
      <w:pPr>
        <w:rPr>
          <w:rFonts w:ascii="仿宋_GB2312" w:eastAsia="仿宋_GB2312"/>
          <w:sz w:val="30"/>
          <w:szCs w:val="30"/>
        </w:rPr>
      </w:pPr>
    </w:p>
    <w:p w:rsidR="00042B19" w:rsidRPr="008B548F" w:rsidRDefault="00622AD0" w:rsidP="0047236B">
      <w:pPr>
        <w:snapToGrid w:val="0"/>
        <w:spacing w:line="480" w:lineRule="atLeast"/>
        <w:ind w:leftChars="1800" w:left="5580" w:hangingChars="600" w:hanging="1800"/>
        <w:jc w:val="right"/>
        <w:rPr>
          <w:rFonts w:ascii="仿宋_GB2312" w:eastAsia="仿宋_GB2312" w:hAnsi="宋体"/>
          <w:sz w:val="30"/>
          <w:szCs w:val="30"/>
        </w:rPr>
      </w:pPr>
      <w:r w:rsidRPr="008B548F">
        <w:rPr>
          <w:rFonts w:ascii="仿宋_GB2312" w:eastAsia="仿宋_GB2312" w:hAnsi="宋体" w:hint="eastAsia"/>
          <w:sz w:val="30"/>
          <w:szCs w:val="30"/>
        </w:rPr>
        <w:t>二</w:t>
      </w:r>
      <w:r w:rsidRPr="008B548F">
        <w:rPr>
          <w:rFonts w:ascii="仿宋_GB2312" w:hAnsi="宋体" w:hint="eastAsia"/>
          <w:sz w:val="30"/>
          <w:szCs w:val="30"/>
        </w:rPr>
        <w:t>〇</w:t>
      </w:r>
      <w:r w:rsidR="004C2DD9" w:rsidRPr="008B548F">
        <w:rPr>
          <w:rFonts w:ascii="仿宋_GB2312" w:eastAsia="仿宋_GB2312" w:hAnsi="宋体" w:hint="eastAsia"/>
          <w:sz w:val="30"/>
          <w:szCs w:val="30"/>
        </w:rPr>
        <w:t>二</w:t>
      </w:r>
      <w:r w:rsidR="00B82B57" w:rsidRPr="008B548F">
        <w:rPr>
          <w:rFonts w:ascii="仿宋_GB2312" w:eastAsia="仿宋_GB2312" w:hAnsi="宋体" w:hint="eastAsia"/>
          <w:sz w:val="30"/>
          <w:szCs w:val="30"/>
        </w:rPr>
        <w:t>二</w:t>
      </w:r>
      <w:r w:rsidRPr="008B548F">
        <w:rPr>
          <w:rFonts w:ascii="仿宋_GB2312" w:eastAsia="仿宋_GB2312" w:hAnsi="宋体" w:hint="eastAsia"/>
          <w:sz w:val="30"/>
          <w:szCs w:val="30"/>
        </w:rPr>
        <w:t>年十二月</w:t>
      </w:r>
    </w:p>
    <w:sectPr w:rsidR="00042B19" w:rsidRPr="008B548F" w:rsidSect="004058F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18C" w:rsidRDefault="0052318C" w:rsidP="00CB6FC1">
      <w:r>
        <w:separator/>
      </w:r>
    </w:p>
  </w:endnote>
  <w:endnote w:type="continuationSeparator" w:id="1">
    <w:p w:rsidR="0052318C" w:rsidRDefault="0052318C" w:rsidP="00CB6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383"/>
      <w:docPartObj>
        <w:docPartGallery w:val="Page Numbers (Bottom of Page)"/>
        <w:docPartUnique/>
      </w:docPartObj>
    </w:sdtPr>
    <w:sdtContent>
      <w:p w:rsidR="006842E3" w:rsidRDefault="006B78FA">
        <w:pPr>
          <w:pStyle w:val="a6"/>
          <w:jc w:val="center"/>
        </w:pPr>
        <w:fldSimple w:instr=" PAGE   \* MERGEFORMAT ">
          <w:r w:rsidR="00E65573" w:rsidRPr="00E65573">
            <w:rPr>
              <w:noProof/>
              <w:lang w:val="zh-CN"/>
            </w:rPr>
            <w:t>4</w:t>
          </w:r>
        </w:fldSimple>
      </w:p>
    </w:sdtContent>
  </w:sdt>
  <w:p w:rsidR="00BB6CBD" w:rsidRDefault="00BB6C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18C" w:rsidRDefault="0052318C" w:rsidP="00CB6FC1">
      <w:r>
        <w:separator/>
      </w:r>
    </w:p>
  </w:footnote>
  <w:footnote w:type="continuationSeparator" w:id="1">
    <w:p w:rsidR="0052318C" w:rsidRDefault="0052318C" w:rsidP="00CB6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51E"/>
    <w:rsid w:val="00022BD8"/>
    <w:rsid w:val="00042B19"/>
    <w:rsid w:val="00066814"/>
    <w:rsid w:val="00077291"/>
    <w:rsid w:val="00081E2B"/>
    <w:rsid w:val="000966B7"/>
    <w:rsid w:val="000A6796"/>
    <w:rsid w:val="000D1E78"/>
    <w:rsid w:val="001269D7"/>
    <w:rsid w:val="00162439"/>
    <w:rsid w:val="0018335A"/>
    <w:rsid w:val="00187D51"/>
    <w:rsid w:val="001B0027"/>
    <w:rsid w:val="001F0E8B"/>
    <w:rsid w:val="001F7DFA"/>
    <w:rsid w:val="00262A6C"/>
    <w:rsid w:val="002742E7"/>
    <w:rsid w:val="002810BE"/>
    <w:rsid w:val="002860BF"/>
    <w:rsid w:val="003279AD"/>
    <w:rsid w:val="00333273"/>
    <w:rsid w:val="0033401C"/>
    <w:rsid w:val="00343E09"/>
    <w:rsid w:val="00362115"/>
    <w:rsid w:val="00397E6E"/>
    <w:rsid w:val="003A489A"/>
    <w:rsid w:val="003A5551"/>
    <w:rsid w:val="003B5523"/>
    <w:rsid w:val="004058FF"/>
    <w:rsid w:val="00406174"/>
    <w:rsid w:val="004302FA"/>
    <w:rsid w:val="00451687"/>
    <w:rsid w:val="0047236B"/>
    <w:rsid w:val="0048035A"/>
    <w:rsid w:val="004C06CF"/>
    <w:rsid w:val="004C2DD9"/>
    <w:rsid w:val="004D29CD"/>
    <w:rsid w:val="00515123"/>
    <w:rsid w:val="0052318C"/>
    <w:rsid w:val="00531C6C"/>
    <w:rsid w:val="00555073"/>
    <w:rsid w:val="00595848"/>
    <w:rsid w:val="005965A1"/>
    <w:rsid w:val="005A733C"/>
    <w:rsid w:val="005C1169"/>
    <w:rsid w:val="00603CEB"/>
    <w:rsid w:val="00616752"/>
    <w:rsid w:val="00622AD0"/>
    <w:rsid w:val="00624E13"/>
    <w:rsid w:val="00631402"/>
    <w:rsid w:val="0067525F"/>
    <w:rsid w:val="006842E3"/>
    <w:rsid w:val="00690FD3"/>
    <w:rsid w:val="006B78FA"/>
    <w:rsid w:val="006C322A"/>
    <w:rsid w:val="007A09FA"/>
    <w:rsid w:val="007A4123"/>
    <w:rsid w:val="007D1EA2"/>
    <w:rsid w:val="007E0AF0"/>
    <w:rsid w:val="008448DD"/>
    <w:rsid w:val="00846CFB"/>
    <w:rsid w:val="00847AC6"/>
    <w:rsid w:val="00865854"/>
    <w:rsid w:val="008A5D4C"/>
    <w:rsid w:val="008B548F"/>
    <w:rsid w:val="008C37B4"/>
    <w:rsid w:val="00934229"/>
    <w:rsid w:val="00941003"/>
    <w:rsid w:val="00941D29"/>
    <w:rsid w:val="00992A06"/>
    <w:rsid w:val="009C1F62"/>
    <w:rsid w:val="009E0894"/>
    <w:rsid w:val="00A86600"/>
    <w:rsid w:val="00A96E0F"/>
    <w:rsid w:val="00AA282D"/>
    <w:rsid w:val="00AB0FD2"/>
    <w:rsid w:val="00AB4132"/>
    <w:rsid w:val="00AD6BE9"/>
    <w:rsid w:val="00B304FA"/>
    <w:rsid w:val="00B32B0B"/>
    <w:rsid w:val="00B370EB"/>
    <w:rsid w:val="00B82B57"/>
    <w:rsid w:val="00BA2817"/>
    <w:rsid w:val="00BA28A3"/>
    <w:rsid w:val="00BB0350"/>
    <w:rsid w:val="00BB6CBD"/>
    <w:rsid w:val="00BC4FF5"/>
    <w:rsid w:val="00BD5F5B"/>
    <w:rsid w:val="00C440B2"/>
    <w:rsid w:val="00C47AE4"/>
    <w:rsid w:val="00C90ACF"/>
    <w:rsid w:val="00C96094"/>
    <w:rsid w:val="00CB6FC1"/>
    <w:rsid w:val="00CE479F"/>
    <w:rsid w:val="00CE7A0D"/>
    <w:rsid w:val="00CF6C14"/>
    <w:rsid w:val="00CF7FE0"/>
    <w:rsid w:val="00D165A2"/>
    <w:rsid w:val="00D300E8"/>
    <w:rsid w:val="00DC4C96"/>
    <w:rsid w:val="00DD56E5"/>
    <w:rsid w:val="00E12CF7"/>
    <w:rsid w:val="00E25569"/>
    <w:rsid w:val="00E3086C"/>
    <w:rsid w:val="00E332D9"/>
    <w:rsid w:val="00E36361"/>
    <w:rsid w:val="00E65573"/>
    <w:rsid w:val="00E73A78"/>
    <w:rsid w:val="00E95866"/>
    <w:rsid w:val="00EB6691"/>
    <w:rsid w:val="00ED12FD"/>
    <w:rsid w:val="00F06803"/>
    <w:rsid w:val="00F179C1"/>
    <w:rsid w:val="00F7607D"/>
    <w:rsid w:val="00FE45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AD0"/>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622AD0"/>
    <w:rPr>
      <w:sz w:val="18"/>
      <w:szCs w:val="18"/>
    </w:rPr>
  </w:style>
  <w:style w:type="character" w:customStyle="1" w:styleId="Char">
    <w:name w:val="批注框文本 Char"/>
    <w:basedOn w:val="a0"/>
    <w:link w:val="a4"/>
    <w:uiPriority w:val="99"/>
    <w:semiHidden/>
    <w:rsid w:val="00622AD0"/>
    <w:rPr>
      <w:rFonts w:ascii="Times New Roman" w:eastAsia="宋体" w:hAnsi="Times New Roman" w:cs="Times New Roman"/>
      <w:sz w:val="18"/>
      <w:szCs w:val="18"/>
    </w:rPr>
  </w:style>
  <w:style w:type="paragraph" w:styleId="a5">
    <w:name w:val="header"/>
    <w:basedOn w:val="a"/>
    <w:link w:val="Char0"/>
    <w:uiPriority w:val="99"/>
    <w:unhideWhenUsed/>
    <w:rsid w:val="00CB6F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B6FC1"/>
    <w:rPr>
      <w:rFonts w:ascii="Times New Roman" w:eastAsia="宋体" w:hAnsi="Times New Roman" w:cs="Times New Roman"/>
      <w:sz w:val="18"/>
      <w:szCs w:val="18"/>
    </w:rPr>
  </w:style>
  <w:style w:type="paragraph" w:styleId="a6">
    <w:name w:val="footer"/>
    <w:basedOn w:val="a"/>
    <w:link w:val="Char1"/>
    <w:uiPriority w:val="99"/>
    <w:unhideWhenUsed/>
    <w:rsid w:val="00CB6FC1"/>
    <w:pPr>
      <w:tabs>
        <w:tab w:val="center" w:pos="4153"/>
        <w:tab w:val="right" w:pos="8306"/>
      </w:tabs>
      <w:snapToGrid w:val="0"/>
      <w:jc w:val="left"/>
    </w:pPr>
    <w:rPr>
      <w:sz w:val="18"/>
      <w:szCs w:val="18"/>
    </w:rPr>
  </w:style>
  <w:style w:type="character" w:customStyle="1" w:styleId="Char1">
    <w:name w:val="页脚 Char"/>
    <w:basedOn w:val="a0"/>
    <w:link w:val="a6"/>
    <w:uiPriority w:val="99"/>
    <w:rsid w:val="00CB6FC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364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tx>
            <c:strRef>
              <c:f>Sheet1!$B$1</c:f>
              <c:strCache>
                <c:ptCount val="1"/>
                <c:pt idx="0">
                  <c:v>2021</c:v>
                </c:pt>
              </c:strCache>
            </c:strRef>
          </c:tx>
          <c:cat>
            <c:strRef>
              <c:f>Sheet1!$A$2:$A$3</c:f>
              <c:strCache>
                <c:ptCount val="2"/>
                <c:pt idx="0">
                  <c:v>行政诉讼</c:v>
                </c:pt>
                <c:pt idx="1">
                  <c:v>非诉审查</c:v>
                </c:pt>
              </c:strCache>
            </c:strRef>
          </c:cat>
          <c:val>
            <c:numRef>
              <c:f>Sheet1!$B$2:$B$3</c:f>
              <c:numCache>
                <c:formatCode>General</c:formatCode>
                <c:ptCount val="2"/>
                <c:pt idx="0">
                  <c:v>12</c:v>
                </c:pt>
                <c:pt idx="1">
                  <c:v>28</c:v>
                </c:pt>
              </c:numCache>
            </c:numRef>
          </c:val>
          <c:extLst xmlns:c16r2="http://schemas.microsoft.com/office/drawing/2015/06/chart">
            <c:ext xmlns:c16="http://schemas.microsoft.com/office/drawing/2014/chart" uri="{C3380CC4-5D6E-409C-BE32-E72D297353CC}">
              <c16:uniqueId val="{00000000-F038-4856-96D9-3140C9955D74}"/>
            </c:ext>
          </c:extLst>
        </c:ser>
        <c:ser>
          <c:idx val="1"/>
          <c:order val="1"/>
          <c:tx>
            <c:strRef>
              <c:f>Sheet1!$C$1</c:f>
              <c:strCache>
                <c:ptCount val="1"/>
                <c:pt idx="0">
                  <c:v>2022</c:v>
                </c:pt>
              </c:strCache>
            </c:strRef>
          </c:tx>
          <c:cat>
            <c:strRef>
              <c:f>Sheet1!$A$2:$A$3</c:f>
              <c:strCache>
                <c:ptCount val="2"/>
                <c:pt idx="0">
                  <c:v>行政诉讼</c:v>
                </c:pt>
                <c:pt idx="1">
                  <c:v>非诉审查</c:v>
                </c:pt>
              </c:strCache>
            </c:strRef>
          </c:cat>
          <c:val>
            <c:numRef>
              <c:f>Sheet1!$C$2:$C$3</c:f>
              <c:numCache>
                <c:formatCode>General</c:formatCode>
                <c:ptCount val="2"/>
                <c:pt idx="0">
                  <c:v>12</c:v>
                </c:pt>
                <c:pt idx="1">
                  <c:v>18</c:v>
                </c:pt>
              </c:numCache>
            </c:numRef>
          </c:val>
          <c:extLst xmlns:c16r2="http://schemas.microsoft.com/office/drawing/2015/06/chart">
            <c:ext xmlns:c16="http://schemas.microsoft.com/office/drawing/2014/chart" uri="{C3380CC4-5D6E-409C-BE32-E72D297353CC}">
              <c16:uniqueId val="{00000001-F038-4856-96D9-3140C9955D74}"/>
            </c:ext>
          </c:extLst>
        </c:ser>
        <c:shape val="box"/>
        <c:axId val="475434368"/>
        <c:axId val="475305088"/>
        <c:axId val="0"/>
      </c:bar3DChart>
      <c:catAx>
        <c:axId val="475434368"/>
        <c:scaling>
          <c:orientation val="minMax"/>
        </c:scaling>
        <c:axPos val="b"/>
        <c:numFmt formatCode="General" sourceLinked="0"/>
        <c:tickLblPos val="nextTo"/>
        <c:crossAx val="475305088"/>
        <c:crosses val="autoZero"/>
        <c:auto val="1"/>
        <c:lblAlgn val="ctr"/>
        <c:lblOffset val="100"/>
      </c:catAx>
      <c:valAx>
        <c:axId val="475305088"/>
        <c:scaling>
          <c:orientation val="minMax"/>
        </c:scaling>
        <c:axPos val="l"/>
        <c:majorGridlines/>
        <c:numFmt formatCode="General" sourceLinked="1"/>
        <c:tickLblPos val="nextTo"/>
        <c:crossAx val="47543436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表二</a:t>
            </a:r>
            <a:r>
              <a:rPr lang="zh-CN" altLang="en-US" baseline="0"/>
              <a:t> </a:t>
            </a:r>
            <a:r>
              <a:rPr lang="en-US" altLang="zh-CN" baseline="0"/>
              <a:t>2022</a:t>
            </a:r>
            <a:r>
              <a:rPr lang="zh-CN" altLang="en-US" baseline="0"/>
              <a:t>年各类行政非诉案件占比</a:t>
            </a:r>
            <a:endParaRPr lang="zh-CN" altLang="en-US"/>
          </a:p>
        </c:rich>
      </c:tx>
    </c:title>
    <c:plotArea>
      <c:layout/>
      <c:pieChart>
        <c:varyColors val="1"/>
        <c:ser>
          <c:idx val="0"/>
          <c:order val="0"/>
          <c:tx>
            <c:strRef>
              <c:f>Sheet1!$B$1</c:f>
              <c:strCache>
                <c:ptCount val="1"/>
                <c:pt idx="0">
                  <c:v>列2</c:v>
                </c:pt>
              </c:strCache>
            </c:strRef>
          </c:tx>
          <c:dLbls>
            <c:dLbl>
              <c:idx val="3"/>
              <c:tx>
                <c:rich>
                  <a:bodyPr/>
                  <a:lstStyle/>
                  <a:p>
                    <a:r>
                      <a:rPr lang="en-US" altLang="en-US"/>
                      <a:t>44</a:t>
                    </a:r>
                    <a:r>
                      <a:rPr lang="en-US" altLang="zh-CN"/>
                      <a:t>%</a:t>
                    </a:r>
                    <a:endParaRPr lang="en-US" altLang="en-US"/>
                  </a:p>
                </c:rich>
              </c:tx>
              <c:showVal val="1"/>
            </c:dLbl>
            <c:spPr>
              <a:noFill/>
              <a:ln>
                <a:noFill/>
              </a:ln>
              <a:effectLst/>
            </c:spPr>
            <c:showPercent val="1"/>
            <c:extLst xmlns:c16r2="http://schemas.microsoft.com/office/drawing/2015/06/chart">
              <c:ext xmlns:c15="http://schemas.microsoft.com/office/drawing/2012/chart" uri="{CE6537A1-D6FC-4f65-9D91-7224C49458BB}"/>
            </c:extLst>
          </c:dLbls>
          <c:cat>
            <c:strRef>
              <c:f>Sheet1!$A$2:$A$5</c:f>
              <c:strCache>
                <c:ptCount val="4"/>
                <c:pt idx="0">
                  <c:v>区政府</c:v>
                </c:pt>
                <c:pt idx="1">
                  <c:v>化工园区</c:v>
                </c:pt>
                <c:pt idx="2">
                  <c:v>国土</c:v>
                </c:pt>
                <c:pt idx="3">
                  <c:v>林业</c:v>
                </c:pt>
              </c:strCache>
            </c:strRef>
          </c:cat>
          <c:val>
            <c:numRef>
              <c:f>Sheet1!$B$2:$B$5</c:f>
              <c:numCache>
                <c:formatCode>General</c:formatCode>
                <c:ptCount val="4"/>
                <c:pt idx="0">
                  <c:v>4</c:v>
                </c:pt>
                <c:pt idx="1">
                  <c:v>1</c:v>
                </c:pt>
                <c:pt idx="2">
                  <c:v>5</c:v>
                </c:pt>
                <c:pt idx="3">
                  <c:v>8</c:v>
                </c:pt>
              </c:numCache>
            </c:numRef>
          </c:val>
          <c:extLst xmlns:c16r2="http://schemas.microsoft.com/office/drawing/2015/06/chart">
            <c:ext xmlns:c16="http://schemas.microsoft.com/office/drawing/2014/chart" uri="{C3380CC4-5D6E-409C-BE32-E72D297353CC}">
              <c16:uniqueId val="{00000000-13EF-437F-B1FE-7F885CEBF25F}"/>
            </c:ext>
          </c:extLst>
        </c:ser>
        <c:dLbls>
          <c:showPercent val="1"/>
        </c:dLbls>
        <c:firstSliceAng val="0"/>
      </c:pieChart>
    </c:plotArea>
    <c:legend>
      <c:legendPos val="t"/>
      <c:legendEntry>
        <c:idx val="3"/>
        <c:txPr>
          <a:bodyPr/>
          <a:lstStyle/>
          <a:p>
            <a:pPr>
              <a:defRPr>
                <a:solidFill>
                  <a:schemeClr val="dk1"/>
                </a:solidFill>
                <a:latin typeface="+mn-lt"/>
                <a:ea typeface="+mn-ea"/>
                <a:cs typeface="+mn-cs"/>
              </a:defRPr>
            </a:pPr>
            <a:endParaRPr lang="zh-CN"/>
          </a:p>
        </c:txPr>
      </c:legendEntry>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zh-CN"/>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2021</c:v>
                </c:pt>
              </c:strCache>
            </c:strRef>
          </c:tx>
          <c:cat>
            <c:strRef>
              <c:f>Sheet1!$A$2:$A$5</c:f>
              <c:strCache>
                <c:ptCount val="4"/>
                <c:pt idx="0">
                  <c:v>国土</c:v>
                </c:pt>
                <c:pt idx="1">
                  <c:v>林业</c:v>
                </c:pt>
                <c:pt idx="2">
                  <c:v>龙潭区政府</c:v>
                </c:pt>
                <c:pt idx="3">
                  <c:v>化工园区</c:v>
                </c:pt>
              </c:strCache>
            </c:strRef>
          </c:cat>
          <c:val>
            <c:numRef>
              <c:f>Sheet1!$B$2:$B$5</c:f>
              <c:numCache>
                <c:formatCode>General</c:formatCode>
                <c:ptCount val="4"/>
                <c:pt idx="0">
                  <c:v>9</c:v>
                </c:pt>
                <c:pt idx="1">
                  <c:v>17</c:v>
                </c:pt>
                <c:pt idx="2">
                  <c:v>0</c:v>
                </c:pt>
                <c:pt idx="3">
                  <c:v>0</c:v>
                </c:pt>
              </c:numCache>
            </c:numRef>
          </c:val>
          <c:extLst xmlns:c16r2="http://schemas.microsoft.com/office/drawing/2015/06/chart">
            <c:ext xmlns:c16="http://schemas.microsoft.com/office/drawing/2014/chart" uri="{C3380CC4-5D6E-409C-BE32-E72D297353CC}">
              <c16:uniqueId val="{00000000-3F96-4639-BCAE-8F518834DCB3}"/>
            </c:ext>
          </c:extLst>
        </c:ser>
        <c:ser>
          <c:idx val="1"/>
          <c:order val="1"/>
          <c:tx>
            <c:strRef>
              <c:f>Sheet1!$C$1</c:f>
              <c:strCache>
                <c:ptCount val="1"/>
                <c:pt idx="0">
                  <c:v>2022</c:v>
                </c:pt>
              </c:strCache>
            </c:strRef>
          </c:tx>
          <c:cat>
            <c:strRef>
              <c:f>Sheet1!$A$2:$A$5</c:f>
              <c:strCache>
                <c:ptCount val="4"/>
                <c:pt idx="0">
                  <c:v>国土</c:v>
                </c:pt>
                <c:pt idx="1">
                  <c:v>林业</c:v>
                </c:pt>
                <c:pt idx="2">
                  <c:v>龙潭区政府</c:v>
                </c:pt>
                <c:pt idx="3">
                  <c:v>化工园区</c:v>
                </c:pt>
              </c:strCache>
            </c:strRef>
          </c:cat>
          <c:val>
            <c:numRef>
              <c:f>Sheet1!$C$2:$C$5</c:f>
              <c:numCache>
                <c:formatCode>General</c:formatCode>
                <c:ptCount val="4"/>
                <c:pt idx="0">
                  <c:v>5</c:v>
                </c:pt>
                <c:pt idx="1">
                  <c:v>8</c:v>
                </c:pt>
                <c:pt idx="2">
                  <c:v>4</c:v>
                </c:pt>
                <c:pt idx="3">
                  <c:v>1</c:v>
                </c:pt>
              </c:numCache>
            </c:numRef>
          </c:val>
          <c:extLst xmlns:c16r2="http://schemas.microsoft.com/office/drawing/2015/06/chart">
            <c:ext xmlns:c16="http://schemas.microsoft.com/office/drawing/2014/chart" uri="{C3380CC4-5D6E-409C-BE32-E72D297353CC}">
              <c16:uniqueId val="{00000001-3F96-4639-BCAE-8F518834DCB3}"/>
            </c:ext>
          </c:extLst>
        </c:ser>
        <c:axId val="482049408"/>
        <c:axId val="475026560"/>
      </c:barChart>
      <c:catAx>
        <c:axId val="482049408"/>
        <c:scaling>
          <c:orientation val="minMax"/>
        </c:scaling>
        <c:axPos val="b"/>
        <c:numFmt formatCode="General" sourceLinked="0"/>
        <c:tickLblPos val="nextTo"/>
        <c:crossAx val="475026560"/>
        <c:crosses val="autoZero"/>
        <c:auto val="1"/>
        <c:lblAlgn val="ctr"/>
        <c:lblOffset val="100"/>
      </c:catAx>
      <c:valAx>
        <c:axId val="475026560"/>
        <c:scaling>
          <c:orientation val="minMax"/>
        </c:scaling>
        <c:axPos val="l"/>
        <c:majorGridlines/>
        <c:numFmt formatCode="General" sourceLinked="1"/>
        <c:tickLblPos val="nextTo"/>
        <c:crossAx val="48204940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696C-C8F0-4789-AF3F-92BF7DFE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355</Words>
  <Characters>2024</Characters>
  <Application>Microsoft Office Word</Application>
  <DocSecurity>0</DocSecurity>
  <Lines>16</Lines>
  <Paragraphs>4</Paragraphs>
  <ScaleCrop>false</ScaleCrop>
  <Company>Micorosoft</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Micorosoft</cp:lastModifiedBy>
  <cp:revision>7</cp:revision>
  <cp:lastPrinted>2021-11-29T07:42:00Z</cp:lastPrinted>
  <dcterms:created xsi:type="dcterms:W3CDTF">2022-12-31T01:01:00Z</dcterms:created>
  <dcterms:modified xsi:type="dcterms:W3CDTF">2023-01-09T07:51:00Z</dcterms:modified>
</cp:coreProperties>
</file>